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Toc419465226"/>
      <w:bookmarkStart w:id="1" w:name="_Toc456699305"/>
      <w:bookmarkStart w:id="2" w:name="OLE_LINK1"/>
      <w:bookmarkStart w:id="23" w:name="_GoBack"/>
      <w:r>
        <w:rPr>
          <w:rFonts w:hint="eastAsia"/>
        </w:rPr>
        <w:t>耿丹学院学分置换认定管理办法</w:t>
      </w:r>
      <w:bookmarkEnd w:id="0"/>
      <w:bookmarkEnd w:id="1"/>
      <w:bookmarkEnd w:id="2"/>
    </w:p>
    <w:bookmarkEnd w:id="23"/>
    <w:p/>
    <w:p>
      <w:pPr>
        <w:spacing w:line="360" w:lineRule="auto"/>
        <w:ind w:firstLine="480" w:firstLineChars="200"/>
        <w:rPr>
          <w:rFonts w:hint="eastAsia" w:ascii="宋体" w:hAnsi="宋体"/>
          <w:sz w:val="24"/>
          <w:szCs w:val="24"/>
        </w:rPr>
      </w:pPr>
      <w:r>
        <w:rPr>
          <w:rFonts w:hint="eastAsia" w:ascii="宋体" w:hAnsi="宋体"/>
          <w:sz w:val="24"/>
          <w:szCs w:val="24"/>
        </w:rPr>
        <w:t>为了体现学校开放式、国际化、应用型办学理念，</w:t>
      </w:r>
      <w:r>
        <w:rPr>
          <w:rFonts w:ascii="宋体" w:hAnsi="宋体"/>
          <w:sz w:val="24"/>
          <w:szCs w:val="24"/>
        </w:rPr>
        <w:t>更好地</w:t>
      </w:r>
      <w:r>
        <w:rPr>
          <w:rFonts w:hint="eastAsia" w:ascii="宋体" w:hAnsi="宋体"/>
          <w:sz w:val="24"/>
          <w:szCs w:val="24"/>
        </w:rPr>
        <w:t>帮助学生</w:t>
      </w:r>
      <w:r>
        <w:rPr>
          <w:rFonts w:ascii="宋体" w:hAnsi="宋体"/>
          <w:sz w:val="24"/>
          <w:szCs w:val="24"/>
        </w:rPr>
        <w:t>提升个人素养</w:t>
      </w:r>
      <w:r>
        <w:rPr>
          <w:rFonts w:hint="eastAsia" w:ascii="宋体" w:hAnsi="宋体"/>
          <w:sz w:val="24"/>
          <w:szCs w:val="24"/>
        </w:rPr>
        <w:t>和就业竞争力，针对</w:t>
      </w:r>
      <w:r>
        <w:rPr>
          <w:rFonts w:ascii="宋体" w:hAnsi="宋体"/>
          <w:sz w:val="24"/>
          <w:szCs w:val="24"/>
        </w:rPr>
        <w:t>学生在校（籍）期间</w:t>
      </w:r>
      <w:r>
        <w:rPr>
          <w:rFonts w:hint="eastAsia" w:ascii="宋体" w:hAnsi="宋体"/>
          <w:sz w:val="24"/>
          <w:szCs w:val="24"/>
        </w:rPr>
        <w:t>参加第二课堂的各类创新实践活动，获得</w:t>
      </w:r>
      <w:r>
        <w:rPr>
          <w:rFonts w:ascii="宋体" w:hAnsi="宋体"/>
          <w:sz w:val="24"/>
          <w:szCs w:val="24"/>
        </w:rPr>
        <w:t>各类职业资格证书、</w:t>
      </w:r>
      <w:r>
        <w:rPr>
          <w:rFonts w:hint="eastAsia" w:ascii="宋体" w:hAnsi="宋体"/>
          <w:sz w:val="24"/>
          <w:szCs w:val="24"/>
        </w:rPr>
        <w:t>校际交流项目成绩证书、语言类等级考试、</w:t>
      </w:r>
      <w:r>
        <w:rPr>
          <w:rFonts w:ascii="宋体" w:hAnsi="宋体"/>
          <w:sz w:val="24"/>
          <w:szCs w:val="24"/>
        </w:rPr>
        <w:t>竞赛奖励和科研成果</w:t>
      </w:r>
      <w:r>
        <w:rPr>
          <w:rFonts w:hint="eastAsia" w:ascii="宋体" w:hAnsi="宋体"/>
          <w:sz w:val="24"/>
          <w:szCs w:val="24"/>
        </w:rPr>
        <w:t>、服兵役荣誉证书等，学校</w:t>
      </w:r>
      <w:r>
        <w:rPr>
          <w:rFonts w:ascii="宋体" w:hAnsi="宋体"/>
          <w:sz w:val="24"/>
          <w:szCs w:val="24"/>
        </w:rPr>
        <w:t>准予其申请自修、置换</w:t>
      </w:r>
      <w:r>
        <w:rPr>
          <w:rFonts w:hint="eastAsia" w:ascii="宋体" w:hAnsi="宋体"/>
          <w:sz w:val="24"/>
          <w:szCs w:val="24"/>
        </w:rPr>
        <w:t>部分课程及</w:t>
      </w:r>
      <w:r>
        <w:rPr>
          <w:rFonts w:ascii="宋体" w:hAnsi="宋体"/>
          <w:sz w:val="24"/>
          <w:szCs w:val="24"/>
        </w:rPr>
        <w:t>学分，为规范此工作，特制订本办法。</w:t>
      </w:r>
    </w:p>
    <w:p>
      <w:pPr>
        <w:spacing w:line="360" w:lineRule="auto"/>
        <w:jc w:val="center"/>
        <w:rPr>
          <w:rFonts w:hint="eastAsia" w:ascii="宋体" w:hAnsi="宋体"/>
          <w:b/>
          <w:sz w:val="24"/>
          <w:szCs w:val="24"/>
        </w:rPr>
      </w:pPr>
      <w:r>
        <w:rPr>
          <w:rFonts w:hint="eastAsia" w:ascii="宋体" w:hAnsi="宋体"/>
          <w:b/>
          <w:sz w:val="24"/>
          <w:szCs w:val="24"/>
        </w:rPr>
        <w:t xml:space="preserve">第一条  </w:t>
      </w:r>
      <w:r>
        <w:rPr>
          <w:rFonts w:hint="eastAsia" w:ascii="宋体" w:hAnsi="宋体"/>
          <w:b/>
          <w:bCs/>
          <w:sz w:val="24"/>
          <w:szCs w:val="24"/>
        </w:rPr>
        <w:t>学分置换认定的基本</w:t>
      </w:r>
      <w:r>
        <w:rPr>
          <w:rFonts w:hint="eastAsia" w:ascii="宋体" w:hAnsi="宋体"/>
          <w:b/>
          <w:sz w:val="24"/>
          <w:szCs w:val="24"/>
        </w:rPr>
        <w:t>原则</w:t>
      </w:r>
    </w:p>
    <w:p>
      <w:pPr>
        <w:spacing w:line="360" w:lineRule="auto"/>
        <w:ind w:firstLine="480" w:firstLineChars="200"/>
        <w:rPr>
          <w:rFonts w:hint="eastAsia" w:ascii="宋体" w:hAnsi="宋体"/>
          <w:sz w:val="24"/>
          <w:szCs w:val="24"/>
        </w:rPr>
      </w:pPr>
      <w:r>
        <w:rPr>
          <w:rFonts w:hint="eastAsia" w:ascii="宋体" w:hAnsi="宋体"/>
          <w:sz w:val="24"/>
          <w:szCs w:val="24"/>
        </w:rPr>
        <w:t>一、一致性与选择性相融合</w:t>
      </w:r>
    </w:p>
    <w:p>
      <w:pPr>
        <w:spacing w:line="360" w:lineRule="auto"/>
        <w:ind w:firstLine="480" w:firstLineChars="200"/>
        <w:rPr>
          <w:rFonts w:hint="eastAsia" w:ascii="宋体" w:hAnsi="宋体"/>
          <w:sz w:val="24"/>
          <w:szCs w:val="24"/>
        </w:rPr>
      </w:pPr>
      <w:r>
        <w:rPr>
          <w:rFonts w:hint="eastAsia" w:ascii="宋体" w:hAnsi="宋体"/>
          <w:sz w:val="24"/>
          <w:szCs w:val="24"/>
        </w:rPr>
        <w:t>在强调与我校专业人才培养方案一致性的前提下，学生可以根据自己的基础、特长和需要选择一些项目（课程），以利于学生个性的拓展，做到一致性与选择性有机融合。</w:t>
      </w:r>
    </w:p>
    <w:p>
      <w:pPr>
        <w:spacing w:line="360" w:lineRule="auto"/>
        <w:ind w:firstLine="480" w:firstLineChars="200"/>
        <w:rPr>
          <w:rFonts w:hint="eastAsia" w:ascii="宋体" w:hAnsi="宋体"/>
          <w:sz w:val="24"/>
          <w:szCs w:val="24"/>
        </w:rPr>
      </w:pPr>
      <w:r>
        <w:rPr>
          <w:rFonts w:hint="eastAsia" w:ascii="宋体" w:hAnsi="宋体"/>
          <w:sz w:val="24"/>
          <w:szCs w:val="24"/>
        </w:rPr>
        <w:t>二、鼓励性与规范性相协调</w:t>
      </w:r>
    </w:p>
    <w:p>
      <w:pPr>
        <w:spacing w:line="360" w:lineRule="auto"/>
        <w:ind w:firstLine="480" w:firstLineChars="200"/>
        <w:rPr>
          <w:rFonts w:hint="eastAsia" w:ascii="宋体" w:hAnsi="宋体"/>
          <w:sz w:val="24"/>
          <w:szCs w:val="24"/>
        </w:rPr>
      </w:pPr>
      <w:r>
        <w:rPr>
          <w:rFonts w:hint="eastAsia" w:ascii="宋体" w:hAnsi="宋体"/>
          <w:sz w:val="24"/>
          <w:szCs w:val="24"/>
        </w:rPr>
        <w:t>学校鼓励学生为自身成长而作出的多样性选择，但为保证人才培养的质量和规格，同时要强调学分置换的规范性，即强调参与项目的真实性与有效性、学分置换涉及的课程与培养方案课程类型要一致、置换认定程序要严格。</w:t>
      </w:r>
    </w:p>
    <w:p>
      <w:pPr>
        <w:spacing w:line="360" w:lineRule="auto"/>
        <w:jc w:val="center"/>
        <w:rPr>
          <w:rFonts w:hint="eastAsia" w:ascii="宋体" w:hAnsi="宋体"/>
          <w:sz w:val="24"/>
          <w:szCs w:val="24"/>
        </w:rPr>
      </w:pPr>
      <w:r>
        <w:rPr>
          <w:rFonts w:hint="eastAsia" w:ascii="宋体" w:hAnsi="宋体"/>
          <w:b/>
          <w:bCs/>
          <w:sz w:val="24"/>
          <w:szCs w:val="24"/>
        </w:rPr>
        <w:t>第二条   项目学分置换认定的类型和基本要求</w:t>
      </w:r>
    </w:p>
    <w:p>
      <w:pPr>
        <w:spacing w:line="360" w:lineRule="auto"/>
        <w:ind w:firstLine="480" w:firstLineChars="200"/>
        <w:rPr>
          <w:rFonts w:hint="eastAsia" w:ascii="宋体" w:hAnsi="宋体"/>
          <w:sz w:val="24"/>
          <w:szCs w:val="24"/>
        </w:rPr>
      </w:pPr>
      <w:r>
        <w:rPr>
          <w:rFonts w:hint="eastAsia" w:ascii="宋体" w:hAnsi="宋体"/>
          <w:sz w:val="24"/>
          <w:szCs w:val="24"/>
        </w:rPr>
        <w:t>一、学生参加海外院校课程学习给予学分置换认定的，必须是本校与海外院校合作项目，且符合学校赴海外院校课程学习申请流程通过者。</w:t>
      </w:r>
    </w:p>
    <w:p>
      <w:pPr>
        <w:spacing w:line="360" w:lineRule="auto"/>
        <w:ind w:firstLine="480" w:firstLineChars="200"/>
        <w:rPr>
          <w:rFonts w:hint="eastAsia" w:ascii="宋体" w:hAnsi="宋体"/>
          <w:sz w:val="24"/>
          <w:szCs w:val="24"/>
        </w:rPr>
      </w:pPr>
      <w:r>
        <w:rPr>
          <w:rFonts w:hint="eastAsia" w:ascii="宋体" w:hAnsi="宋体"/>
          <w:sz w:val="24"/>
          <w:szCs w:val="24"/>
        </w:rPr>
        <w:t>1.学校根据与海外院校合作项目协议，公布合作院校、专业、课程（学时学分）以及交流时间段，学校国际交流办公室按照项目申请流程预审交流学生名单，并提交教学事务办公室和相关系部。</w:t>
      </w:r>
    </w:p>
    <w:p>
      <w:pPr>
        <w:spacing w:line="360" w:lineRule="auto"/>
        <w:ind w:firstLine="480" w:firstLineChars="200"/>
        <w:rPr>
          <w:rStyle w:val="4"/>
          <w:rFonts w:hint="eastAsia" w:cs="Times New Roman"/>
        </w:rPr>
      </w:pPr>
      <w:r>
        <w:rPr>
          <w:rFonts w:hint="eastAsia" w:ascii="宋体" w:hAnsi="宋体"/>
          <w:sz w:val="24"/>
          <w:szCs w:val="24"/>
        </w:rPr>
        <w:t>2.赴海外院校交流累计4周及以上的，需修读2-6个海外学分；累计8周及以上的，需修读5-10个海外学分；累计15周及以上的，需修读9-15个海外学分；</w:t>
      </w:r>
      <w:r>
        <w:rPr>
          <w:rFonts w:hint="eastAsia" w:ascii="宋体" w:hAnsi="宋体"/>
          <w:bCs/>
          <w:sz w:val="24"/>
          <w:szCs w:val="24"/>
        </w:rPr>
        <w:t>学期交流的，需修读不少于15个海外院校学分。</w:t>
      </w:r>
    </w:p>
    <w:p>
      <w:pPr>
        <w:spacing w:line="360" w:lineRule="auto"/>
        <w:ind w:firstLine="480" w:firstLineChars="200"/>
        <w:rPr>
          <w:rFonts w:hint="eastAsia" w:ascii="宋体" w:hAnsi="宋体"/>
          <w:sz w:val="24"/>
          <w:szCs w:val="24"/>
        </w:rPr>
      </w:pPr>
      <w:r>
        <w:rPr>
          <w:rFonts w:hint="eastAsia" w:ascii="宋体" w:hAnsi="宋体"/>
          <w:sz w:val="24"/>
          <w:szCs w:val="24"/>
        </w:rPr>
        <w:t xml:space="preserve"> 3.赴海外院校交流置换互认课程成绩分数要求。凡修读合格者，按对方提供的成绩计算。对于学期中间时段参加海外院校交流的，并在出行离校前，</w:t>
      </w:r>
      <w:r>
        <w:rPr>
          <w:rFonts w:hint="eastAsia" w:ascii="宋体" w:hAnsi="宋体"/>
          <w:bCs/>
          <w:sz w:val="24"/>
          <w:szCs w:val="24"/>
        </w:rPr>
        <w:t>完成了2/3课程学习的，允许提前申请结课考试，但结课考核的最高成绩只能是中等（75分），</w:t>
      </w:r>
      <w:r>
        <w:rPr>
          <w:rFonts w:hint="eastAsia" w:ascii="宋体" w:hAnsi="宋体"/>
          <w:sz w:val="24"/>
          <w:szCs w:val="24"/>
        </w:rPr>
        <w:t>也允许学生办理缓考手续，待返校后申请参加该课程考核。</w:t>
      </w:r>
    </w:p>
    <w:p>
      <w:pPr>
        <w:spacing w:line="360" w:lineRule="auto"/>
        <w:ind w:firstLine="480" w:firstLineChars="200"/>
        <w:rPr>
          <w:rFonts w:ascii="宋体" w:hAnsi="宋体" w:cs="宋体"/>
          <w:kern w:val="0"/>
          <w:sz w:val="24"/>
          <w:szCs w:val="24"/>
        </w:rPr>
      </w:pPr>
      <w:r>
        <w:rPr>
          <w:rFonts w:hint="eastAsia" w:ascii="宋体" w:hAnsi="宋体"/>
          <w:sz w:val="24"/>
          <w:szCs w:val="24"/>
        </w:rPr>
        <w:t>4.</w:t>
      </w:r>
      <w:r>
        <w:rPr>
          <w:rFonts w:ascii="宋体" w:hAnsi="宋体" w:cs="宋体"/>
          <w:kern w:val="0"/>
          <w:sz w:val="24"/>
          <w:szCs w:val="24"/>
        </w:rPr>
        <w:t>学生的课程成绩以百分制登录。百分制成绩、成绩等级的对应关系如下表：</w:t>
      </w:r>
    </w:p>
    <w:tbl>
      <w:tblPr>
        <w:tblStyle w:val="5"/>
        <w:tblW w:w="7743"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9"/>
        <w:gridCol w:w="2581"/>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jc w:val="center"/>
        </w:trPr>
        <w:tc>
          <w:tcPr>
            <w:tcW w:w="2589" w:type="dxa"/>
            <w:tcBorders>
              <w:top w:val="nil"/>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rPr>
            </w:pPr>
            <w:r>
              <w:rPr>
                <w:rFonts w:hint="eastAsia" w:ascii="宋体" w:hAnsi="宋体" w:cs="宋体"/>
                <w:kern w:val="0"/>
                <w:sz w:val="24"/>
                <w:szCs w:val="24"/>
              </w:rPr>
              <w:t>本校</w:t>
            </w:r>
            <w:r>
              <w:rPr>
                <w:rFonts w:ascii="宋体" w:hAnsi="宋体" w:cs="宋体"/>
                <w:kern w:val="0"/>
                <w:sz w:val="24"/>
                <w:szCs w:val="24"/>
              </w:rPr>
              <w:t>百分制</w:t>
            </w:r>
          </w:p>
        </w:tc>
        <w:tc>
          <w:tcPr>
            <w:tcW w:w="2581"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rPr>
            </w:pPr>
            <w:r>
              <w:rPr>
                <w:rFonts w:hint="eastAsia" w:ascii="宋体" w:hAnsi="宋体" w:cs="宋体"/>
                <w:kern w:val="0"/>
                <w:sz w:val="24"/>
                <w:szCs w:val="24"/>
              </w:rPr>
              <w:t>国外</w:t>
            </w:r>
            <w:r>
              <w:rPr>
                <w:rFonts w:ascii="宋体" w:hAnsi="宋体" w:cs="宋体"/>
                <w:kern w:val="0"/>
                <w:sz w:val="24"/>
                <w:szCs w:val="24"/>
              </w:rPr>
              <w:t>成绩等级</w:t>
            </w:r>
          </w:p>
        </w:tc>
        <w:tc>
          <w:tcPr>
            <w:tcW w:w="2573" w:type="dxa"/>
            <w:tcBorders>
              <w:top w:val="nil"/>
              <w:left w:val="single" w:color="auto" w:sz="4" w:space="0"/>
              <w:bottom w:val="single" w:color="auto" w:sz="4" w:space="0"/>
              <w:right w:val="nil"/>
            </w:tcBorders>
            <w:vAlign w:val="center"/>
          </w:tcPr>
          <w:p>
            <w:pPr>
              <w:widowControl/>
              <w:spacing w:before="100" w:beforeAutospacing="1" w:after="100" w:afterAutospacing="1" w:line="360" w:lineRule="auto"/>
              <w:jc w:val="center"/>
              <w:rPr>
                <w:rFonts w:ascii="宋体" w:hAnsi="宋体" w:cs="宋体"/>
                <w:kern w:val="0"/>
                <w:sz w:val="24"/>
                <w:szCs w:val="24"/>
              </w:rPr>
            </w:pPr>
            <w:r>
              <w:rPr>
                <w:rFonts w:hint="eastAsia" w:ascii="宋体" w:hAnsi="宋体" w:cs="宋体"/>
                <w:kern w:val="0"/>
                <w:sz w:val="24"/>
                <w:szCs w:val="24"/>
              </w:rPr>
              <w:t>本校</w:t>
            </w:r>
            <w:r>
              <w:rPr>
                <w:rFonts w:ascii="宋体" w:hAnsi="宋体" w:cs="宋体"/>
                <w:kern w:val="0"/>
                <w:sz w:val="24"/>
                <w:szCs w:val="24"/>
              </w:rPr>
              <w:t>五级制成绩等级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8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rPr>
            </w:pPr>
            <w:r>
              <w:rPr>
                <w:rFonts w:hint="eastAsia" w:ascii="宋体" w:hAnsi="宋体" w:cs="宋体"/>
                <w:kern w:val="0"/>
                <w:sz w:val="24"/>
                <w:szCs w:val="24"/>
              </w:rPr>
              <w:t>90-100</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960" w:firstLineChars="400"/>
              <w:jc w:val="left"/>
              <w:rPr>
                <w:rFonts w:ascii="宋体" w:hAnsi="宋体" w:cs="宋体"/>
                <w:kern w:val="0"/>
                <w:sz w:val="24"/>
                <w:szCs w:val="24"/>
              </w:rPr>
            </w:pPr>
            <w:r>
              <w:rPr>
                <w:rFonts w:hint="eastAsia" w:ascii="宋体" w:hAnsi="宋体" w:cs="宋体"/>
                <w:kern w:val="0"/>
                <w:sz w:val="24"/>
                <w:szCs w:val="24"/>
              </w:rPr>
              <w:t>A</w:t>
            </w:r>
          </w:p>
        </w:tc>
        <w:tc>
          <w:tcPr>
            <w:tcW w:w="2573" w:type="dxa"/>
            <w:tcBorders>
              <w:top w:val="single" w:color="auto" w:sz="4" w:space="0"/>
              <w:left w:val="single" w:color="auto" w:sz="4" w:space="0"/>
              <w:bottom w:val="single" w:color="auto" w:sz="4" w:space="0"/>
              <w:right w:val="nil"/>
            </w:tcBorders>
            <w:vAlign w:val="center"/>
          </w:tcPr>
          <w:p>
            <w:pPr>
              <w:widowControl/>
              <w:spacing w:before="100" w:beforeAutospacing="1" w:after="100" w:afterAutospacing="1" w:line="360" w:lineRule="auto"/>
              <w:jc w:val="center"/>
              <w:rPr>
                <w:rFonts w:ascii="宋体" w:hAnsi="宋体" w:cs="宋体"/>
                <w:kern w:val="0"/>
                <w:sz w:val="24"/>
                <w:szCs w:val="24"/>
              </w:rPr>
            </w:pPr>
            <w:r>
              <w:rPr>
                <w:rFonts w:ascii="宋体" w:hAnsi="宋体" w:cs="宋体"/>
                <w:kern w:val="0"/>
                <w:sz w:val="24"/>
                <w:szCs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8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strike/>
                <w:kern w:val="0"/>
                <w:sz w:val="24"/>
                <w:szCs w:val="24"/>
              </w:rPr>
            </w:pPr>
            <w:r>
              <w:rPr>
                <w:rFonts w:ascii="宋体" w:hAnsi="宋体" w:cs="宋体"/>
                <w:kern w:val="0"/>
                <w:sz w:val="24"/>
                <w:szCs w:val="24"/>
              </w:rPr>
              <w:t>85—89</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960" w:firstLineChars="400"/>
              <w:jc w:val="left"/>
              <w:rPr>
                <w:rFonts w:ascii="宋体" w:hAnsi="宋体" w:cs="宋体"/>
                <w:strike/>
                <w:kern w:val="0"/>
                <w:sz w:val="24"/>
                <w:szCs w:val="24"/>
              </w:rPr>
            </w:pPr>
            <w:r>
              <w:rPr>
                <w:rFonts w:ascii="宋体" w:hAnsi="宋体" w:cs="宋体"/>
                <w:kern w:val="0"/>
                <w:sz w:val="24"/>
                <w:szCs w:val="24"/>
              </w:rPr>
              <w:t>A</w:t>
            </w:r>
            <w:r>
              <w:rPr>
                <w:rFonts w:hint="eastAsia" w:ascii="宋体" w:hAnsi="宋体" w:cs="宋体"/>
                <w:kern w:val="0"/>
                <w:sz w:val="24"/>
                <w:szCs w:val="24"/>
              </w:rPr>
              <w:t>-</w:t>
            </w:r>
          </w:p>
        </w:tc>
        <w:tc>
          <w:tcPr>
            <w:tcW w:w="2573" w:type="dxa"/>
            <w:tcBorders>
              <w:top w:val="single" w:color="auto" w:sz="4" w:space="0"/>
              <w:left w:val="single" w:color="auto" w:sz="4" w:space="0"/>
              <w:bottom w:val="single" w:color="auto" w:sz="4" w:space="0"/>
              <w:right w:val="nil"/>
            </w:tcBorders>
            <w:vAlign w:val="center"/>
          </w:tcPr>
          <w:p>
            <w:pPr>
              <w:widowControl/>
              <w:spacing w:before="100" w:beforeAutospacing="1" w:after="100" w:afterAutospacing="1" w:line="360" w:lineRule="auto"/>
              <w:jc w:val="center"/>
              <w:rPr>
                <w:rFonts w:ascii="宋体" w:hAnsi="宋体" w:cs="宋体"/>
                <w:strike/>
                <w:kern w:val="0"/>
                <w:sz w:val="24"/>
                <w:szCs w:val="24"/>
              </w:rPr>
            </w:pPr>
            <w:r>
              <w:rPr>
                <w:rFonts w:ascii="宋体" w:hAnsi="宋体" w:cs="宋体"/>
                <w:kern w:val="0"/>
                <w:sz w:val="24"/>
                <w:szCs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8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rPr>
            </w:pPr>
            <w:r>
              <w:rPr>
                <w:rFonts w:ascii="宋体" w:hAnsi="宋体" w:cs="宋体"/>
                <w:kern w:val="0"/>
                <w:sz w:val="24"/>
                <w:szCs w:val="24"/>
              </w:rPr>
              <w:t>80—84</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960" w:firstLineChars="400"/>
              <w:jc w:val="left"/>
              <w:rPr>
                <w:rFonts w:ascii="宋体" w:hAnsi="宋体" w:cs="宋体"/>
                <w:kern w:val="0"/>
                <w:sz w:val="24"/>
                <w:szCs w:val="24"/>
              </w:rPr>
            </w:pPr>
            <w:r>
              <w:rPr>
                <w:rFonts w:hint="eastAsia" w:ascii="宋体" w:hAnsi="宋体" w:cs="宋体"/>
                <w:kern w:val="0"/>
                <w:sz w:val="24"/>
                <w:szCs w:val="24"/>
              </w:rPr>
              <w:t>B+</w:t>
            </w:r>
          </w:p>
        </w:tc>
        <w:tc>
          <w:tcPr>
            <w:tcW w:w="2573" w:type="dxa"/>
            <w:tcBorders>
              <w:top w:val="single" w:color="auto" w:sz="4" w:space="0"/>
              <w:left w:val="single" w:color="auto" w:sz="4" w:space="0"/>
              <w:bottom w:val="single" w:color="auto" w:sz="4" w:space="0"/>
              <w:right w:val="nil"/>
            </w:tcBorders>
            <w:vAlign w:val="center"/>
          </w:tcPr>
          <w:p>
            <w:pPr>
              <w:widowControl/>
              <w:spacing w:before="100" w:beforeAutospacing="1" w:after="100" w:afterAutospacing="1" w:line="360" w:lineRule="auto"/>
              <w:jc w:val="center"/>
              <w:rPr>
                <w:rFonts w:ascii="宋体" w:hAnsi="宋体" w:cs="宋体"/>
                <w:kern w:val="0"/>
                <w:sz w:val="24"/>
                <w:szCs w:val="24"/>
              </w:rPr>
            </w:pPr>
            <w:r>
              <w:rPr>
                <w:rFonts w:ascii="宋体" w:hAnsi="宋体" w:cs="宋体"/>
                <w:kern w:val="0"/>
                <w:sz w:val="24"/>
                <w:szCs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8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strike/>
                <w:kern w:val="0"/>
                <w:sz w:val="24"/>
                <w:szCs w:val="24"/>
              </w:rPr>
            </w:pPr>
            <w:r>
              <w:rPr>
                <w:rFonts w:ascii="宋体" w:hAnsi="宋体" w:cs="宋体"/>
                <w:kern w:val="0"/>
                <w:sz w:val="24"/>
                <w:szCs w:val="24"/>
              </w:rPr>
              <w:t>75—79</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960" w:firstLineChars="400"/>
              <w:jc w:val="left"/>
              <w:rPr>
                <w:rFonts w:ascii="宋体" w:hAnsi="宋体" w:cs="宋体"/>
                <w:strike/>
                <w:kern w:val="0"/>
                <w:sz w:val="24"/>
                <w:szCs w:val="24"/>
              </w:rPr>
            </w:pPr>
            <w:r>
              <w:rPr>
                <w:rFonts w:ascii="宋体" w:hAnsi="宋体" w:cs="宋体"/>
                <w:kern w:val="0"/>
                <w:sz w:val="24"/>
                <w:szCs w:val="24"/>
              </w:rPr>
              <w:t>B</w:t>
            </w:r>
          </w:p>
        </w:tc>
        <w:tc>
          <w:tcPr>
            <w:tcW w:w="2573" w:type="dxa"/>
            <w:tcBorders>
              <w:top w:val="single" w:color="auto" w:sz="4" w:space="0"/>
              <w:left w:val="single" w:color="auto" w:sz="4" w:space="0"/>
              <w:bottom w:val="single" w:color="auto" w:sz="4" w:space="0"/>
              <w:right w:val="nil"/>
            </w:tcBorders>
            <w:vAlign w:val="center"/>
          </w:tcPr>
          <w:p>
            <w:pPr>
              <w:widowControl/>
              <w:spacing w:before="100" w:beforeAutospacing="1" w:after="100" w:afterAutospacing="1" w:line="360" w:lineRule="auto"/>
              <w:jc w:val="center"/>
              <w:rPr>
                <w:rFonts w:ascii="宋体" w:hAnsi="宋体" w:cs="宋体"/>
                <w:strike/>
                <w:kern w:val="0"/>
                <w:sz w:val="24"/>
                <w:szCs w:val="24"/>
              </w:rPr>
            </w:pPr>
            <w:r>
              <w:rPr>
                <w:rFonts w:ascii="宋体" w:hAnsi="宋体" w:cs="宋体"/>
                <w:kern w:val="0"/>
                <w:sz w:val="24"/>
                <w:szCs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8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rPr>
            </w:pPr>
            <w:r>
              <w:rPr>
                <w:rFonts w:ascii="宋体" w:hAnsi="宋体" w:cs="宋体"/>
                <w:kern w:val="0"/>
                <w:sz w:val="24"/>
                <w:szCs w:val="24"/>
              </w:rPr>
              <w:t>70—74</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960" w:firstLineChars="400"/>
              <w:jc w:val="left"/>
              <w:rPr>
                <w:rFonts w:ascii="宋体" w:hAnsi="宋体" w:cs="宋体"/>
                <w:kern w:val="0"/>
                <w:sz w:val="24"/>
                <w:szCs w:val="24"/>
              </w:rPr>
            </w:pPr>
            <w:r>
              <w:rPr>
                <w:rFonts w:ascii="宋体" w:hAnsi="宋体" w:cs="宋体"/>
                <w:kern w:val="0"/>
                <w:sz w:val="24"/>
                <w:szCs w:val="24"/>
              </w:rPr>
              <w:t>B</w:t>
            </w:r>
            <w:r>
              <w:rPr>
                <w:rFonts w:hint="eastAsia" w:ascii="宋体" w:hAnsi="宋体" w:cs="宋体"/>
                <w:kern w:val="0"/>
                <w:sz w:val="24"/>
                <w:szCs w:val="24"/>
              </w:rPr>
              <w:t>-</w:t>
            </w:r>
          </w:p>
        </w:tc>
        <w:tc>
          <w:tcPr>
            <w:tcW w:w="2573" w:type="dxa"/>
            <w:tcBorders>
              <w:top w:val="single" w:color="auto" w:sz="4" w:space="0"/>
              <w:left w:val="single" w:color="auto" w:sz="4" w:space="0"/>
              <w:bottom w:val="single" w:color="auto" w:sz="4" w:space="0"/>
              <w:right w:val="nil"/>
            </w:tcBorders>
            <w:vAlign w:val="center"/>
          </w:tcPr>
          <w:p>
            <w:pPr>
              <w:widowControl/>
              <w:spacing w:before="100" w:beforeAutospacing="1" w:after="100" w:afterAutospacing="1" w:line="360" w:lineRule="auto"/>
              <w:jc w:val="center"/>
              <w:rPr>
                <w:rFonts w:ascii="宋体" w:hAnsi="宋体" w:cs="宋体"/>
                <w:kern w:val="0"/>
                <w:sz w:val="24"/>
                <w:szCs w:val="24"/>
              </w:rPr>
            </w:pPr>
            <w:r>
              <w:rPr>
                <w:rFonts w:ascii="宋体" w:hAnsi="宋体" w:cs="宋体"/>
                <w:kern w:val="0"/>
                <w:sz w:val="24"/>
                <w:szCs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8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strike/>
                <w:kern w:val="0"/>
                <w:sz w:val="24"/>
                <w:szCs w:val="24"/>
              </w:rPr>
            </w:pPr>
            <w:r>
              <w:rPr>
                <w:rFonts w:ascii="宋体" w:hAnsi="宋体" w:cs="宋体"/>
                <w:kern w:val="0"/>
                <w:sz w:val="24"/>
                <w:szCs w:val="24"/>
              </w:rPr>
              <w:t>65—69</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960" w:firstLineChars="400"/>
              <w:jc w:val="left"/>
              <w:rPr>
                <w:rFonts w:ascii="宋体" w:hAnsi="宋体" w:cs="宋体"/>
                <w:strike/>
                <w:kern w:val="0"/>
                <w:sz w:val="24"/>
                <w:szCs w:val="24"/>
              </w:rPr>
            </w:pPr>
            <w:r>
              <w:rPr>
                <w:rFonts w:ascii="宋体" w:hAnsi="宋体" w:cs="宋体"/>
                <w:kern w:val="0"/>
                <w:sz w:val="24"/>
                <w:szCs w:val="24"/>
              </w:rPr>
              <w:t>C</w:t>
            </w:r>
            <w:r>
              <w:rPr>
                <w:rFonts w:hint="eastAsia" w:ascii="宋体" w:hAnsi="宋体" w:cs="宋体"/>
                <w:kern w:val="0"/>
                <w:sz w:val="24"/>
                <w:szCs w:val="24"/>
              </w:rPr>
              <w:t>+</w:t>
            </w:r>
          </w:p>
        </w:tc>
        <w:tc>
          <w:tcPr>
            <w:tcW w:w="2573" w:type="dxa"/>
            <w:tcBorders>
              <w:top w:val="single" w:color="auto" w:sz="4" w:space="0"/>
              <w:left w:val="single" w:color="auto" w:sz="4" w:space="0"/>
              <w:bottom w:val="single" w:color="auto" w:sz="4" w:space="0"/>
              <w:right w:val="nil"/>
            </w:tcBorders>
            <w:vAlign w:val="center"/>
          </w:tcPr>
          <w:p>
            <w:pPr>
              <w:widowControl/>
              <w:spacing w:before="100" w:beforeAutospacing="1" w:after="100" w:afterAutospacing="1" w:line="360" w:lineRule="auto"/>
              <w:jc w:val="center"/>
              <w:rPr>
                <w:rFonts w:ascii="宋体" w:hAnsi="宋体" w:cs="宋体"/>
                <w:strike/>
                <w:kern w:val="0"/>
                <w:sz w:val="24"/>
                <w:szCs w:val="24"/>
              </w:rPr>
            </w:pPr>
            <w:r>
              <w:rPr>
                <w:rFonts w:ascii="宋体" w:hAnsi="宋体" w:cs="宋体"/>
                <w:kern w:val="0"/>
                <w:sz w:val="24"/>
                <w:szCs w:val="24"/>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8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rPr>
            </w:pPr>
            <w:r>
              <w:rPr>
                <w:rFonts w:ascii="宋体" w:hAnsi="宋体" w:cs="宋体"/>
                <w:kern w:val="0"/>
                <w:sz w:val="24"/>
                <w:szCs w:val="24"/>
              </w:rPr>
              <w:t>60—</w:t>
            </w:r>
            <w:r>
              <w:rPr>
                <w:rFonts w:hint="eastAsia" w:ascii="宋体" w:hAnsi="宋体" w:cs="宋体"/>
                <w:kern w:val="0"/>
                <w:sz w:val="24"/>
                <w:szCs w:val="24"/>
              </w:rPr>
              <w:t>64</w:t>
            </w:r>
          </w:p>
        </w:tc>
        <w:tc>
          <w:tcPr>
            <w:tcW w:w="25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ind w:firstLine="960" w:firstLineChars="400"/>
              <w:jc w:val="left"/>
              <w:rPr>
                <w:rFonts w:ascii="宋体" w:hAnsi="宋体" w:cs="宋体"/>
                <w:kern w:val="0"/>
                <w:sz w:val="24"/>
                <w:szCs w:val="24"/>
              </w:rPr>
            </w:pPr>
            <w:r>
              <w:rPr>
                <w:rFonts w:ascii="宋体" w:hAnsi="宋体" w:cs="宋体"/>
                <w:kern w:val="0"/>
                <w:sz w:val="24"/>
                <w:szCs w:val="24"/>
              </w:rPr>
              <w:t>C</w:t>
            </w:r>
          </w:p>
        </w:tc>
        <w:tc>
          <w:tcPr>
            <w:tcW w:w="2573" w:type="dxa"/>
            <w:tcBorders>
              <w:top w:val="single" w:color="auto" w:sz="4" w:space="0"/>
              <w:left w:val="single" w:color="auto" w:sz="4" w:space="0"/>
              <w:bottom w:val="single" w:color="auto" w:sz="4" w:space="0"/>
              <w:right w:val="nil"/>
            </w:tcBorders>
            <w:vAlign w:val="center"/>
          </w:tcPr>
          <w:p>
            <w:pPr>
              <w:widowControl/>
              <w:spacing w:before="100" w:beforeAutospacing="1" w:after="100" w:afterAutospacing="1" w:line="360" w:lineRule="auto"/>
              <w:jc w:val="center"/>
              <w:rPr>
                <w:rFonts w:ascii="宋体" w:hAnsi="宋体" w:cs="宋体"/>
                <w:kern w:val="0"/>
                <w:sz w:val="24"/>
                <w:szCs w:val="24"/>
              </w:rPr>
            </w:pPr>
            <w:r>
              <w:rPr>
                <w:rFonts w:ascii="宋体" w:hAnsi="宋体" w:cs="宋体"/>
                <w:kern w:val="0"/>
                <w:sz w:val="24"/>
                <w:szCs w:val="24"/>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2589" w:type="dxa"/>
            <w:tcBorders>
              <w:top w:val="single" w:color="auto" w:sz="4" w:space="0"/>
              <w:left w:val="nil"/>
              <w:bottom w:val="nil"/>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rPr>
            </w:pPr>
            <w:r>
              <w:rPr>
                <w:rFonts w:ascii="宋体" w:hAnsi="宋体" w:cs="宋体"/>
                <w:kern w:val="0"/>
                <w:sz w:val="24"/>
                <w:szCs w:val="24"/>
              </w:rPr>
              <w:t>60以下</w:t>
            </w:r>
          </w:p>
        </w:tc>
        <w:tc>
          <w:tcPr>
            <w:tcW w:w="2581"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60" w:lineRule="auto"/>
              <w:ind w:firstLine="960" w:firstLineChars="400"/>
              <w:jc w:val="left"/>
              <w:rPr>
                <w:rFonts w:ascii="宋体" w:hAnsi="宋体" w:cs="宋体"/>
                <w:kern w:val="0"/>
                <w:sz w:val="24"/>
                <w:szCs w:val="24"/>
              </w:rPr>
            </w:pPr>
            <w:r>
              <w:rPr>
                <w:rFonts w:hint="eastAsia" w:ascii="宋体" w:hAnsi="宋体" w:cs="宋体"/>
                <w:kern w:val="0"/>
                <w:sz w:val="24"/>
                <w:szCs w:val="24"/>
              </w:rPr>
              <w:t>D,</w:t>
            </w:r>
            <w:r>
              <w:rPr>
                <w:rFonts w:ascii="宋体" w:hAnsi="宋体" w:cs="宋体"/>
                <w:kern w:val="0"/>
                <w:sz w:val="24"/>
                <w:szCs w:val="24"/>
              </w:rPr>
              <w:t>F</w:t>
            </w:r>
          </w:p>
        </w:tc>
        <w:tc>
          <w:tcPr>
            <w:tcW w:w="2573" w:type="dxa"/>
            <w:tcBorders>
              <w:top w:val="single" w:color="auto" w:sz="4" w:space="0"/>
              <w:left w:val="single" w:color="auto" w:sz="4" w:space="0"/>
              <w:bottom w:val="nil"/>
              <w:right w:val="nil"/>
            </w:tcBorders>
            <w:vAlign w:val="center"/>
          </w:tcPr>
          <w:p>
            <w:pPr>
              <w:widowControl/>
              <w:spacing w:before="100" w:beforeAutospacing="1" w:after="100" w:afterAutospacing="1" w:line="360" w:lineRule="auto"/>
              <w:jc w:val="center"/>
              <w:rPr>
                <w:rFonts w:ascii="宋体" w:hAnsi="宋体" w:cs="宋体"/>
                <w:kern w:val="0"/>
                <w:sz w:val="24"/>
                <w:szCs w:val="24"/>
              </w:rPr>
            </w:pPr>
            <w:r>
              <w:rPr>
                <w:rFonts w:ascii="宋体" w:hAnsi="宋体" w:cs="宋体"/>
                <w:kern w:val="0"/>
                <w:sz w:val="24"/>
                <w:szCs w:val="24"/>
              </w:rPr>
              <w:t>不及格</w:t>
            </w:r>
          </w:p>
        </w:tc>
      </w:tr>
    </w:tbl>
    <w:p>
      <w:pPr>
        <w:spacing w:line="360" w:lineRule="auto"/>
        <w:rPr>
          <w:rFonts w:hint="eastAsia" w:ascii="宋体" w:hAnsi="宋体"/>
          <w:bCs/>
          <w:sz w:val="24"/>
          <w:szCs w:val="24"/>
        </w:rPr>
      </w:pPr>
      <w:r>
        <w:rPr>
          <w:rFonts w:hint="eastAsia" w:ascii="宋体" w:hAnsi="宋体"/>
          <w:bCs/>
          <w:sz w:val="24"/>
          <w:szCs w:val="24"/>
        </w:rPr>
        <w:t>具体分数对应关系由国际交流办公室与国外相关院校确定。</w:t>
      </w:r>
    </w:p>
    <w:p>
      <w:pPr>
        <w:spacing w:line="360" w:lineRule="auto"/>
        <w:ind w:firstLine="480" w:firstLineChars="200"/>
        <w:rPr>
          <w:rFonts w:hint="eastAsia" w:ascii="宋体" w:hAnsi="宋体"/>
          <w:sz w:val="24"/>
          <w:szCs w:val="24"/>
        </w:rPr>
      </w:pPr>
      <w:r>
        <w:rPr>
          <w:rFonts w:hint="eastAsia" w:ascii="宋体" w:hAnsi="宋体"/>
          <w:sz w:val="24"/>
          <w:szCs w:val="24"/>
        </w:rPr>
        <w:t>二、学生参加职业（专业）资格证书项目培训给予学分置换认定的，必须是获得省部级以上或国家级、国际认证的行业协会培训后颁发的职业（专业）资格培训合格证书，由培训部根据各专业学生需求开设相应培训课程（项目），统一公布的各类课程学习可获得的职业（专业）资格证书类别及学习计划。一个项目证书给予等学分置换认定一门通识任选课程或1个第二课堂学分。</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学生</w:t>
      </w:r>
      <w:r>
        <w:rPr>
          <w:rFonts w:hint="eastAsia" w:ascii="宋体" w:hAnsi="宋体"/>
          <w:sz w:val="24"/>
          <w:szCs w:val="24"/>
        </w:rPr>
        <w:t>所取得的职业（专业）资格证书</w:t>
      </w:r>
      <w:r>
        <w:rPr>
          <w:rFonts w:ascii="宋体" w:hAnsi="宋体"/>
          <w:sz w:val="24"/>
          <w:szCs w:val="24"/>
        </w:rPr>
        <w:t>与</w:t>
      </w:r>
      <w:r>
        <w:rPr>
          <w:rFonts w:hint="eastAsia" w:ascii="宋体" w:hAnsi="宋体"/>
          <w:sz w:val="24"/>
          <w:szCs w:val="24"/>
        </w:rPr>
        <w:t>学校人才培养方案规定需学习课程相关</w:t>
      </w:r>
      <w:r>
        <w:rPr>
          <w:rFonts w:ascii="宋体" w:hAnsi="宋体"/>
          <w:sz w:val="24"/>
          <w:szCs w:val="24"/>
        </w:rPr>
        <w:t>，学生可申请</w:t>
      </w:r>
      <w:r>
        <w:rPr>
          <w:rFonts w:hint="eastAsia" w:ascii="宋体" w:hAnsi="宋体"/>
          <w:sz w:val="24"/>
          <w:szCs w:val="24"/>
        </w:rPr>
        <w:t>免修</w:t>
      </w:r>
      <w:r>
        <w:rPr>
          <w:rFonts w:ascii="宋体" w:hAnsi="宋体"/>
          <w:sz w:val="24"/>
          <w:szCs w:val="24"/>
        </w:rPr>
        <w:t>该门课程，</w:t>
      </w:r>
      <w:r>
        <w:rPr>
          <w:rFonts w:hint="eastAsia" w:ascii="宋体" w:hAnsi="宋体"/>
          <w:sz w:val="24"/>
          <w:szCs w:val="24"/>
        </w:rPr>
        <w:t>经学生所在系审批，报教学事务办公室审核备案，用职业（专业）资格证书置换学分，成绩以80分计</w:t>
      </w:r>
      <w:r>
        <w:rPr>
          <w:rFonts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2.学生获得的职业资格证书</w:t>
      </w:r>
      <w:r>
        <w:rPr>
          <w:rFonts w:ascii="宋体" w:hAnsi="宋体"/>
          <w:sz w:val="24"/>
          <w:szCs w:val="24"/>
        </w:rPr>
        <w:t>与</w:t>
      </w:r>
      <w:r>
        <w:rPr>
          <w:rFonts w:hint="eastAsia" w:ascii="宋体" w:hAnsi="宋体"/>
          <w:sz w:val="24"/>
          <w:szCs w:val="24"/>
        </w:rPr>
        <w:t>学校人才培养方案规定不相关的，1个职业资格证书可以抵1个第二课堂学分，学生自愿申请，由学生所在系申报，教学事务办公室审核备案，每个学生用与学校人才培养方案规定不相关的职业资格证书置换学分数最多不超过3个，且成绩为“</w:t>
      </w:r>
      <w:r>
        <w:rPr>
          <w:rStyle w:val="4"/>
          <w:rFonts w:hint="eastAsia" w:cs="Times New Roman"/>
        </w:rPr>
        <w:t>中等”或75分</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三、学生参加各类学科竞赛给予学分认定的，必须是学校组织推荐申报的省部级以上或国家级行业协会举办的参赛项目。</w:t>
      </w:r>
    </w:p>
    <w:p>
      <w:pPr>
        <w:spacing w:line="360" w:lineRule="auto"/>
        <w:ind w:firstLine="480" w:firstLineChars="200"/>
        <w:rPr>
          <w:rFonts w:hint="eastAsia" w:ascii="宋体" w:hAnsi="宋体"/>
          <w:sz w:val="24"/>
          <w:szCs w:val="24"/>
        </w:rPr>
      </w:pPr>
      <w:r>
        <w:rPr>
          <w:rFonts w:hint="eastAsia" w:ascii="宋体" w:hAnsi="宋体"/>
          <w:sz w:val="24"/>
          <w:szCs w:val="24"/>
        </w:rPr>
        <w:t>1.参赛学生在各级科技（学科）竞赛获奖后，奖励学分计入第二课堂学分，按以下标准奖励：</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08" w:type="dxa"/>
            <w:gridSpan w:val="2"/>
            <w:vAlign w:val="top"/>
          </w:tcPr>
          <w:p>
            <w:pPr>
              <w:spacing w:before="100" w:beforeAutospacing="1" w:after="100" w:afterAutospacing="1" w:line="360" w:lineRule="auto"/>
              <w:jc w:val="center"/>
              <w:rPr>
                <w:rFonts w:ascii="宋体" w:hAnsi="宋体"/>
                <w:sz w:val="24"/>
                <w:szCs w:val="24"/>
              </w:rPr>
            </w:pPr>
            <w:r>
              <w:rPr>
                <w:rFonts w:hint="eastAsia" w:ascii="宋体" w:hAnsi="宋体"/>
                <w:sz w:val="24"/>
                <w:szCs w:val="24"/>
              </w:rPr>
              <w:t>竞赛级别</w:t>
            </w:r>
          </w:p>
        </w:tc>
        <w:tc>
          <w:tcPr>
            <w:tcW w:w="1704" w:type="dxa"/>
            <w:vAlign w:val="top"/>
          </w:tcPr>
          <w:p>
            <w:pPr>
              <w:spacing w:before="100" w:beforeAutospacing="1" w:after="100" w:afterAutospacing="1" w:line="360" w:lineRule="auto"/>
              <w:jc w:val="center"/>
              <w:rPr>
                <w:rFonts w:ascii="宋体" w:hAnsi="宋体"/>
                <w:sz w:val="24"/>
                <w:szCs w:val="24"/>
              </w:rPr>
            </w:pPr>
            <w:r>
              <w:rPr>
                <w:rFonts w:hint="eastAsia" w:ascii="宋体" w:hAnsi="宋体"/>
                <w:sz w:val="24"/>
                <w:szCs w:val="24"/>
              </w:rPr>
              <w:t>一等奖</w:t>
            </w:r>
          </w:p>
        </w:tc>
        <w:tc>
          <w:tcPr>
            <w:tcW w:w="1705" w:type="dxa"/>
            <w:vAlign w:val="top"/>
          </w:tcPr>
          <w:p>
            <w:pPr>
              <w:spacing w:before="100" w:beforeAutospacing="1" w:after="100" w:afterAutospacing="1" w:line="360" w:lineRule="auto"/>
              <w:jc w:val="center"/>
              <w:rPr>
                <w:rFonts w:ascii="宋体" w:hAnsi="宋体"/>
                <w:sz w:val="24"/>
                <w:szCs w:val="24"/>
              </w:rPr>
            </w:pPr>
            <w:r>
              <w:rPr>
                <w:rFonts w:hint="eastAsia" w:ascii="宋体" w:hAnsi="宋体"/>
                <w:sz w:val="24"/>
                <w:szCs w:val="24"/>
              </w:rPr>
              <w:t>二等奖</w:t>
            </w:r>
          </w:p>
        </w:tc>
        <w:tc>
          <w:tcPr>
            <w:tcW w:w="1705" w:type="dxa"/>
            <w:vAlign w:val="top"/>
          </w:tcPr>
          <w:p>
            <w:pPr>
              <w:spacing w:before="100" w:beforeAutospacing="1" w:after="100" w:afterAutospacing="1" w:line="360" w:lineRule="auto"/>
              <w:jc w:val="center"/>
              <w:rPr>
                <w:rFonts w:ascii="宋体" w:hAnsi="宋体"/>
                <w:sz w:val="24"/>
                <w:szCs w:val="24"/>
              </w:rPr>
            </w:pPr>
            <w:r>
              <w:rPr>
                <w:rFonts w:hint="eastAsia" w:ascii="宋体" w:hAnsi="宋体"/>
                <w:sz w:val="24"/>
                <w:szCs w:val="24"/>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cs="楷体"/>
                <w:color w:val="FF0000"/>
                <w:sz w:val="24"/>
                <w:szCs w:val="24"/>
              </w:rPr>
            </w:pPr>
            <w:r>
              <w:rPr>
                <w:rFonts w:hint="eastAsia" w:ascii="宋体" w:hAnsi="宋体" w:cs="楷体"/>
                <w:color w:val="FF0000"/>
                <w:sz w:val="24"/>
                <w:szCs w:val="24"/>
              </w:rPr>
              <w:t>国际级</w:t>
            </w:r>
          </w:p>
          <w:p>
            <w:pPr>
              <w:spacing w:line="360" w:lineRule="auto"/>
              <w:jc w:val="center"/>
              <w:rPr>
                <w:rFonts w:hint="eastAsia" w:ascii="宋体" w:hAnsi="宋体" w:cs="楷体"/>
                <w:color w:val="FF0000"/>
                <w:sz w:val="24"/>
                <w:szCs w:val="24"/>
              </w:rPr>
            </w:pPr>
            <w:r>
              <w:rPr>
                <w:rFonts w:hint="eastAsia" w:ascii="宋体" w:hAnsi="宋体" w:cs="楷体"/>
                <w:color w:val="FF0000"/>
                <w:sz w:val="24"/>
                <w:szCs w:val="24"/>
              </w:rPr>
              <w:t>国家级</w:t>
            </w:r>
          </w:p>
        </w:tc>
        <w:tc>
          <w:tcPr>
            <w:tcW w:w="1704" w:type="dxa"/>
            <w:vAlign w:val="center"/>
          </w:tcPr>
          <w:p>
            <w:pPr>
              <w:spacing w:line="360" w:lineRule="auto"/>
              <w:ind w:firstLine="480" w:firstLineChars="200"/>
              <w:rPr>
                <w:rFonts w:hint="eastAsia" w:ascii="宋体" w:hAnsi="宋体" w:cs="楷体"/>
                <w:color w:val="FF0000"/>
                <w:sz w:val="24"/>
                <w:szCs w:val="24"/>
              </w:rPr>
            </w:pPr>
            <w:r>
              <w:rPr>
                <w:rFonts w:hint="eastAsia" w:ascii="宋体" w:hAnsi="宋体" w:cs="楷体"/>
                <w:color w:val="FF0000"/>
                <w:sz w:val="24"/>
                <w:szCs w:val="24"/>
              </w:rPr>
              <w:t>个人</w:t>
            </w:r>
          </w:p>
        </w:tc>
        <w:tc>
          <w:tcPr>
            <w:tcW w:w="1704" w:type="dxa"/>
            <w:vAlign w:val="center"/>
          </w:tcPr>
          <w:p>
            <w:pPr>
              <w:spacing w:line="360" w:lineRule="auto"/>
              <w:ind w:firstLine="480" w:firstLineChars="200"/>
              <w:jc w:val="center"/>
              <w:rPr>
                <w:rFonts w:hint="eastAsia" w:ascii="宋体" w:hAnsi="宋体" w:cs="楷体"/>
                <w:color w:val="FF0000"/>
                <w:sz w:val="24"/>
                <w:szCs w:val="24"/>
              </w:rPr>
            </w:pPr>
            <w:r>
              <w:rPr>
                <w:rFonts w:hint="eastAsia" w:ascii="宋体" w:hAnsi="宋体" w:cs="楷体"/>
                <w:color w:val="FF0000"/>
                <w:sz w:val="24"/>
                <w:szCs w:val="24"/>
              </w:rPr>
              <w:t>4</w:t>
            </w:r>
          </w:p>
        </w:tc>
        <w:tc>
          <w:tcPr>
            <w:tcW w:w="1705" w:type="dxa"/>
            <w:vAlign w:val="center"/>
          </w:tcPr>
          <w:p>
            <w:pPr>
              <w:spacing w:line="360" w:lineRule="auto"/>
              <w:ind w:firstLine="480" w:firstLineChars="200"/>
              <w:jc w:val="center"/>
              <w:rPr>
                <w:rFonts w:hint="eastAsia" w:ascii="宋体" w:hAnsi="宋体" w:cs="楷体"/>
                <w:color w:val="FF0000"/>
                <w:sz w:val="24"/>
                <w:szCs w:val="24"/>
              </w:rPr>
            </w:pPr>
            <w:r>
              <w:rPr>
                <w:rFonts w:hint="eastAsia" w:ascii="宋体" w:hAnsi="宋体" w:cs="楷体"/>
                <w:color w:val="FF0000"/>
                <w:sz w:val="24"/>
                <w:szCs w:val="24"/>
              </w:rPr>
              <w:t>3</w:t>
            </w:r>
          </w:p>
        </w:tc>
        <w:tc>
          <w:tcPr>
            <w:tcW w:w="1705" w:type="dxa"/>
            <w:vAlign w:val="center"/>
          </w:tcPr>
          <w:p>
            <w:pPr>
              <w:spacing w:line="360" w:lineRule="auto"/>
              <w:ind w:firstLine="480" w:firstLineChars="200"/>
              <w:jc w:val="center"/>
              <w:rPr>
                <w:rFonts w:hint="eastAsia" w:ascii="宋体" w:hAnsi="宋体" w:cs="楷体"/>
                <w:sz w:val="24"/>
                <w:szCs w:val="24"/>
              </w:rPr>
            </w:pPr>
            <w:r>
              <w:rPr>
                <w:rFonts w:hint="eastAsia" w:ascii="宋体" w:hAnsi="宋体" w:cs="楷体"/>
                <w:color w:val="FF0000"/>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cs="楷体"/>
                <w:color w:val="FF0000"/>
                <w:sz w:val="24"/>
                <w:szCs w:val="24"/>
              </w:rPr>
            </w:pPr>
            <w:r>
              <w:rPr>
                <w:rFonts w:hint="eastAsia" w:ascii="宋体" w:hAnsi="宋体" w:cs="楷体"/>
                <w:color w:val="FF0000"/>
                <w:sz w:val="24"/>
                <w:szCs w:val="24"/>
              </w:rPr>
              <w:t>省部级</w:t>
            </w:r>
          </w:p>
        </w:tc>
        <w:tc>
          <w:tcPr>
            <w:tcW w:w="1704" w:type="dxa"/>
            <w:vAlign w:val="center"/>
          </w:tcPr>
          <w:p>
            <w:pPr>
              <w:spacing w:line="360" w:lineRule="auto"/>
              <w:ind w:firstLine="480" w:firstLineChars="200"/>
              <w:rPr>
                <w:rFonts w:hint="eastAsia" w:ascii="宋体" w:hAnsi="宋体" w:cs="楷体"/>
                <w:color w:val="FF0000"/>
                <w:sz w:val="24"/>
                <w:szCs w:val="24"/>
              </w:rPr>
            </w:pPr>
            <w:r>
              <w:rPr>
                <w:rFonts w:hint="eastAsia" w:ascii="宋体" w:hAnsi="宋体" w:cs="楷体"/>
                <w:color w:val="FF0000"/>
                <w:sz w:val="24"/>
                <w:szCs w:val="24"/>
              </w:rPr>
              <w:t>个人</w:t>
            </w:r>
          </w:p>
        </w:tc>
        <w:tc>
          <w:tcPr>
            <w:tcW w:w="1704" w:type="dxa"/>
            <w:vAlign w:val="center"/>
          </w:tcPr>
          <w:p>
            <w:pPr>
              <w:spacing w:line="360" w:lineRule="auto"/>
              <w:ind w:firstLine="480" w:firstLineChars="200"/>
              <w:jc w:val="center"/>
              <w:rPr>
                <w:rFonts w:hint="eastAsia" w:ascii="宋体" w:hAnsi="宋体" w:cs="楷体"/>
                <w:color w:val="FF0000"/>
                <w:sz w:val="24"/>
                <w:szCs w:val="24"/>
              </w:rPr>
            </w:pPr>
            <w:r>
              <w:rPr>
                <w:rFonts w:hint="eastAsia" w:ascii="宋体" w:hAnsi="宋体" w:cs="楷体"/>
                <w:color w:val="FF0000"/>
                <w:sz w:val="24"/>
                <w:szCs w:val="24"/>
              </w:rPr>
              <w:t>3</w:t>
            </w:r>
          </w:p>
        </w:tc>
        <w:tc>
          <w:tcPr>
            <w:tcW w:w="1705" w:type="dxa"/>
            <w:vAlign w:val="center"/>
          </w:tcPr>
          <w:p>
            <w:pPr>
              <w:spacing w:line="360" w:lineRule="auto"/>
              <w:ind w:firstLine="480" w:firstLineChars="200"/>
              <w:jc w:val="center"/>
              <w:rPr>
                <w:rFonts w:hint="eastAsia" w:ascii="宋体" w:hAnsi="宋体" w:cs="楷体"/>
                <w:color w:val="FF0000"/>
                <w:sz w:val="24"/>
                <w:szCs w:val="24"/>
              </w:rPr>
            </w:pPr>
            <w:r>
              <w:rPr>
                <w:rFonts w:hint="eastAsia" w:ascii="宋体" w:hAnsi="宋体" w:cs="楷体"/>
                <w:color w:val="FF0000"/>
                <w:sz w:val="24"/>
                <w:szCs w:val="24"/>
              </w:rPr>
              <w:t>2</w:t>
            </w:r>
          </w:p>
        </w:tc>
        <w:tc>
          <w:tcPr>
            <w:tcW w:w="1705" w:type="dxa"/>
            <w:vAlign w:val="center"/>
          </w:tcPr>
          <w:p>
            <w:pPr>
              <w:spacing w:line="360" w:lineRule="auto"/>
              <w:ind w:firstLine="480" w:firstLineChars="200"/>
              <w:jc w:val="center"/>
              <w:rPr>
                <w:rFonts w:hint="eastAsia" w:ascii="宋体" w:hAnsi="宋体" w:cs="楷体"/>
                <w:color w:val="FF0000"/>
                <w:sz w:val="24"/>
                <w:szCs w:val="24"/>
              </w:rPr>
            </w:pPr>
            <w:r>
              <w:rPr>
                <w:rFonts w:hint="eastAsia" w:ascii="宋体" w:hAnsi="宋体" w:cs="楷体"/>
                <w:color w:val="FF000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cs="楷体"/>
                <w:color w:val="FF0000"/>
                <w:sz w:val="24"/>
                <w:szCs w:val="24"/>
              </w:rPr>
            </w:pPr>
            <w:r>
              <w:rPr>
                <w:rFonts w:hint="eastAsia" w:ascii="宋体" w:hAnsi="宋体" w:cs="楷体"/>
                <w:color w:val="FF0000"/>
                <w:sz w:val="24"/>
                <w:szCs w:val="24"/>
              </w:rPr>
              <w:t>校级</w:t>
            </w:r>
          </w:p>
        </w:tc>
        <w:tc>
          <w:tcPr>
            <w:tcW w:w="1704" w:type="dxa"/>
            <w:vAlign w:val="center"/>
          </w:tcPr>
          <w:p>
            <w:pPr>
              <w:spacing w:line="360" w:lineRule="auto"/>
              <w:ind w:firstLine="480" w:firstLineChars="200"/>
              <w:rPr>
                <w:rFonts w:hint="eastAsia" w:ascii="宋体" w:hAnsi="宋体" w:cs="楷体"/>
                <w:color w:val="FF0000"/>
                <w:sz w:val="24"/>
                <w:szCs w:val="24"/>
              </w:rPr>
            </w:pPr>
            <w:r>
              <w:rPr>
                <w:rFonts w:hint="eastAsia" w:ascii="宋体" w:hAnsi="宋体" w:cs="楷体"/>
                <w:color w:val="FF0000"/>
                <w:sz w:val="24"/>
                <w:szCs w:val="24"/>
              </w:rPr>
              <w:t>个人</w:t>
            </w:r>
          </w:p>
        </w:tc>
        <w:tc>
          <w:tcPr>
            <w:tcW w:w="1704" w:type="dxa"/>
            <w:vAlign w:val="center"/>
          </w:tcPr>
          <w:p>
            <w:pPr>
              <w:spacing w:line="360" w:lineRule="auto"/>
              <w:ind w:firstLine="480" w:firstLineChars="200"/>
              <w:jc w:val="center"/>
              <w:rPr>
                <w:rFonts w:hint="eastAsia" w:ascii="宋体" w:hAnsi="宋体" w:cs="楷体"/>
                <w:color w:val="FF0000"/>
                <w:sz w:val="24"/>
                <w:szCs w:val="24"/>
              </w:rPr>
            </w:pPr>
            <w:r>
              <w:rPr>
                <w:rFonts w:hint="eastAsia" w:ascii="宋体" w:hAnsi="宋体" w:cs="楷体"/>
                <w:color w:val="FF0000"/>
                <w:sz w:val="24"/>
                <w:szCs w:val="24"/>
              </w:rPr>
              <w:t>1</w:t>
            </w:r>
          </w:p>
        </w:tc>
        <w:tc>
          <w:tcPr>
            <w:tcW w:w="1705" w:type="dxa"/>
            <w:vAlign w:val="center"/>
          </w:tcPr>
          <w:p>
            <w:pPr>
              <w:spacing w:line="360" w:lineRule="auto"/>
              <w:ind w:firstLine="480" w:firstLineChars="200"/>
              <w:jc w:val="center"/>
              <w:rPr>
                <w:rFonts w:hint="eastAsia" w:ascii="宋体" w:hAnsi="宋体" w:cs="楷体"/>
                <w:color w:val="FF0000"/>
                <w:sz w:val="24"/>
                <w:szCs w:val="24"/>
              </w:rPr>
            </w:pPr>
            <w:r>
              <w:rPr>
                <w:rFonts w:hint="eastAsia" w:ascii="宋体" w:hAnsi="宋体" w:cs="楷体"/>
                <w:color w:val="FF0000"/>
                <w:sz w:val="24"/>
                <w:szCs w:val="24"/>
              </w:rPr>
              <w:t>0.5</w:t>
            </w:r>
          </w:p>
        </w:tc>
        <w:tc>
          <w:tcPr>
            <w:tcW w:w="1705" w:type="dxa"/>
            <w:vAlign w:val="center"/>
          </w:tcPr>
          <w:p>
            <w:pPr>
              <w:spacing w:line="360" w:lineRule="auto"/>
              <w:ind w:firstLine="480" w:firstLineChars="200"/>
              <w:jc w:val="center"/>
              <w:rPr>
                <w:rFonts w:hint="eastAsia" w:ascii="宋体" w:hAnsi="宋体" w:cs="楷体"/>
                <w:sz w:val="24"/>
                <w:szCs w:val="24"/>
              </w:rPr>
            </w:pPr>
            <w:r>
              <w:rPr>
                <w:rFonts w:hint="eastAsia" w:ascii="宋体" w:hAnsi="宋体" w:cs="楷体"/>
                <w:color w:val="FF0000"/>
                <w:sz w:val="24"/>
                <w:szCs w:val="24"/>
              </w:rPr>
              <w:t>0</w:t>
            </w:r>
          </w:p>
        </w:tc>
      </w:tr>
    </w:tbl>
    <w:p>
      <w:pPr>
        <w:spacing w:line="360" w:lineRule="auto"/>
        <w:ind w:firstLine="480" w:firstLineChars="200"/>
        <w:rPr>
          <w:rFonts w:hint="eastAsia" w:ascii="宋体" w:hAnsi="宋体"/>
          <w:sz w:val="24"/>
          <w:szCs w:val="24"/>
        </w:rPr>
      </w:pPr>
      <w:r>
        <w:rPr>
          <w:rFonts w:hint="eastAsia" w:ascii="宋体" w:hAnsi="宋体"/>
          <w:bCs/>
          <w:sz w:val="24"/>
          <w:szCs w:val="24"/>
        </w:rPr>
        <w:t>2.对参加省部级（含）以上竞赛获三等奖</w:t>
      </w:r>
      <w:r>
        <w:rPr>
          <w:rFonts w:hint="eastAsia" w:ascii="宋体" w:hAnsi="宋体"/>
          <w:sz w:val="24"/>
          <w:szCs w:val="24"/>
        </w:rPr>
        <w:t>以上</w:t>
      </w:r>
      <w:r>
        <w:rPr>
          <w:rFonts w:hint="eastAsia" w:ascii="宋体" w:hAnsi="宋体"/>
          <w:bCs/>
          <w:sz w:val="24"/>
          <w:szCs w:val="24"/>
        </w:rPr>
        <w:t>学生学校备案，并计入学籍档案。参赛学生在校期间获奖多于一项时，奖励学分可叠加。置换学分的课程</w:t>
      </w:r>
      <w:r>
        <w:rPr>
          <w:rFonts w:hint="eastAsia" w:ascii="宋体" w:hAnsi="宋体"/>
          <w:sz w:val="24"/>
          <w:szCs w:val="24"/>
        </w:rPr>
        <w:t>成绩为二级制即通过、不通过。</w:t>
      </w:r>
    </w:p>
    <w:p>
      <w:pPr>
        <w:spacing w:line="360" w:lineRule="auto"/>
        <w:ind w:firstLine="480" w:firstLineChars="200"/>
        <w:rPr>
          <w:rFonts w:hint="eastAsia" w:ascii="宋体" w:hAnsi="宋体"/>
          <w:sz w:val="24"/>
          <w:szCs w:val="24"/>
        </w:rPr>
      </w:pPr>
      <w:r>
        <w:rPr>
          <w:rFonts w:hint="eastAsia" w:ascii="宋体" w:hAnsi="宋体"/>
          <w:sz w:val="24"/>
          <w:szCs w:val="24"/>
        </w:rPr>
        <w:t>四、学生在校期间服兵役，</w:t>
      </w:r>
      <w:r>
        <w:rPr>
          <w:rFonts w:hint="eastAsia" w:ascii="宋体" w:hAnsi="宋体"/>
          <w:bCs/>
          <w:sz w:val="24"/>
          <w:szCs w:val="24"/>
        </w:rPr>
        <w:t>且符</w:t>
      </w:r>
      <w:r>
        <w:rPr>
          <w:rFonts w:hint="eastAsia" w:ascii="宋体" w:hAnsi="宋体"/>
          <w:sz w:val="24"/>
          <w:szCs w:val="24"/>
        </w:rPr>
        <w:t>合学校征兵申请流程通过的，按照国家教育部、人武部征兵政策规定给予部分课程学习的学分置换认定。</w:t>
      </w:r>
    </w:p>
    <w:p>
      <w:pPr>
        <w:spacing w:line="360" w:lineRule="auto"/>
        <w:ind w:firstLine="480" w:firstLineChars="200"/>
        <w:rPr>
          <w:rFonts w:hint="eastAsia" w:ascii="宋体" w:hAnsi="宋体"/>
          <w:bCs/>
          <w:sz w:val="24"/>
          <w:szCs w:val="24"/>
        </w:rPr>
      </w:pPr>
      <w:r>
        <w:rPr>
          <w:rFonts w:hint="eastAsia" w:ascii="宋体" w:hAnsi="宋体"/>
          <w:bCs/>
          <w:sz w:val="24"/>
          <w:szCs w:val="24"/>
        </w:rPr>
        <w:t>1.学生因入伍不能参加当学期课程考核的，如已修完课程或修完总学时数五分之四的课程，可参考平时学习情况或采取其他方式进行考核，并给与成绩和学分。</w:t>
      </w:r>
    </w:p>
    <w:p>
      <w:pPr>
        <w:spacing w:line="360" w:lineRule="auto"/>
        <w:ind w:firstLine="480" w:firstLineChars="200"/>
        <w:rPr>
          <w:rFonts w:hint="eastAsia" w:ascii="宋体" w:hAnsi="宋体"/>
          <w:bCs/>
          <w:sz w:val="24"/>
          <w:szCs w:val="24"/>
        </w:rPr>
      </w:pPr>
      <w:r>
        <w:rPr>
          <w:rFonts w:hint="eastAsia" w:ascii="宋体" w:hAnsi="宋体"/>
          <w:bCs/>
          <w:sz w:val="24"/>
          <w:szCs w:val="24"/>
        </w:rPr>
        <w:t>2.入伍学生退役复学后可</w:t>
      </w:r>
      <w:r>
        <w:rPr>
          <w:rFonts w:hint="eastAsia"/>
          <w:sz w:val="24"/>
          <w:szCs w:val="24"/>
        </w:rPr>
        <w:t>免</w:t>
      </w:r>
      <w:r>
        <w:rPr>
          <w:rFonts w:hint="eastAsia" w:ascii="宋体" w:hAnsi="宋体"/>
          <w:bCs/>
          <w:sz w:val="24"/>
          <w:szCs w:val="24"/>
        </w:rPr>
        <w:t>修教学计划规定的体育课、国防教育课、军事训练、第二课堂等课程</w:t>
      </w:r>
      <w:r>
        <w:rPr>
          <w:rFonts w:hint="eastAsia" w:ascii="宋体" w:hAnsi="宋体"/>
          <w:b/>
          <w:sz w:val="24"/>
          <w:szCs w:val="24"/>
        </w:rPr>
        <w:t>4</w:t>
      </w:r>
      <w:r>
        <w:rPr>
          <w:rFonts w:hint="eastAsia" w:ascii="宋体" w:hAnsi="宋体"/>
          <w:bCs/>
          <w:sz w:val="24"/>
          <w:szCs w:val="24"/>
        </w:rPr>
        <w:t>学分。免修需进行书面申请并</w:t>
      </w:r>
      <w:r>
        <w:rPr>
          <w:rFonts w:ascii="宋体" w:hAnsi="宋体"/>
          <w:bCs/>
          <w:sz w:val="24"/>
          <w:szCs w:val="24"/>
        </w:rPr>
        <w:t>提供相关证明材料</w:t>
      </w:r>
      <w:r>
        <w:rPr>
          <w:rFonts w:hint="eastAsia" w:ascii="宋体" w:hAnsi="宋体"/>
          <w:bCs/>
          <w:sz w:val="24"/>
          <w:szCs w:val="24"/>
        </w:rPr>
        <w:t>，由学生事务办公室统一申报，交教学事务办公室审核后，方可以置换学分，相关课程成绩一般以</w:t>
      </w:r>
      <w:r>
        <w:rPr>
          <w:rFonts w:hint="eastAsia" w:ascii="宋体" w:hAnsi="宋体"/>
          <w:sz w:val="24"/>
          <w:szCs w:val="24"/>
        </w:rPr>
        <w:t>90</w:t>
      </w:r>
      <w:r>
        <w:rPr>
          <w:rFonts w:hint="eastAsia" w:ascii="宋体" w:hAnsi="宋体"/>
          <w:bCs/>
          <w:sz w:val="24"/>
          <w:szCs w:val="24"/>
        </w:rPr>
        <w:t>分计。</w:t>
      </w:r>
    </w:p>
    <w:p>
      <w:pPr>
        <w:spacing w:line="360" w:lineRule="auto"/>
        <w:ind w:firstLine="480" w:firstLineChars="200"/>
        <w:rPr>
          <w:rFonts w:hint="eastAsia" w:ascii="宋体" w:hAnsi="宋体"/>
          <w:bCs/>
          <w:sz w:val="24"/>
          <w:szCs w:val="24"/>
        </w:rPr>
      </w:pPr>
      <w:r>
        <w:rPr>
          <w:rFonts w:hint="eastAsia" w:ascii="宋体" w:hAnsi="宋体"/>
          <w:bCs/>
          <w:sz w:val="24"/>
          <w:szCs w:val="24"/>
        </w:rPr>
        <w:t>3.</w:t>
      </w:r>
      <w:r>
        <w:rPr>
          <w:rFonts w:ascii="宋体" w:hAnsi="宋体"/>
          <w:bCs/>
          <w:sz w:val="24"/>
          <w:szCs w:val="24"/>
        </w:rPr>
        <w:t>学生在服兵役期间立功获奖，退伍复学后可以申请置换</w:t>
      </w:r>
      <w:r>
        <w:rPr>
          <w:rFonts w:hint="eastAsia" w:ascii="宋体" w:hAnsi="宋体"/>
          <w:bCs/>
          <w:sz w:val="24"/>
          <w:szCs w:val="24"/>
        </w:rPr>
        <w:t>学分</w:t>
      </w:r>
      <w:r>
        <w:rPr>
          <w:rFonts w:hint="eastAsia" w:ascii="宋体" w:hAnsi="宋体"/>
          <w:sz w:val="24"/>
          <w:szCs w:val="24"/>
        </w:rPr>
        <w:t>，获1次三等功以上可以抵2个第二课堂学分，优秀士兵奖励1个第二课堂学分（成绩以</w:t>
      </w:r>
      <w:r>
        <w:rPr>
          <w:rFonts w:hint="eastAsia" w:ascii="宋体" w:hAnsi="宋体"/>
          <w:bCs/>
          <w:sz w:val="24"/>
          <w:szCs w:val="24"/>
        </w:rPr>
        <w:t>90</w:t>
      </w:r>
      <w:r>
        <w:rPr>
          <w:rFonts w:hint="eastAsia" w:ascii="宋体" w:hAnsi="宋体"/>
          <w:sz w:val="24"/>
          <w:szCs w:val="24"/>
        </w:rPr>
        <w:t>分计）。</w:t>
      </w:r>
    </w:p>
    <w:p>
      <w:pPr>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bCs/>
          <w:sz w:val="24"/>
          <w:szCs w:val="24"/>
        </w:rPr>
        <w:t>学生在服兵役期间</w:t>
      </w:r>
      <w:r>
        <w:rPr>
          <w:rFonts w:hint="eastAsia" w:ascii="宋体" w:hAnsi="宋体"/>
          <w:bCs/>
          <w:sz w:val="24"/>
          <w:szCs w:val="24"/>
        </w:rPr>
        <w:t>，经学生本人申请，所在系同意，</w:t>
      </w:r>
      <w:r>
        <w:rPr>
          <w:rFonts w:hint="eastAsia" w:ascii="宋体" w:hAnsi="宋体"/>
          <w:sz w:val="24"/>
          <w:szCs w:val="24"/>
        </w:rPr>
        <w:t>大四阶段毕业设计（论文）可远程指导完成，具体要求参照学校毕业设计（论文）相关规范执行。</w:t>
      </w:r>
    </w:p>
    <w:p>
      <w:pPr>
        <w:spacing w:line="360" w:lineRule="auto"/>
        <w:ind w:firstLine="480" w:firstLineChars="200"/>
        <w:rPr>
          <w:rFonts w:hint="eastAsia" w:ascii="宋体" w:hAnsi="宋体"/>
          <w:sz w:val="24"/>
          <w:szCs w:val="24"/>
        </w:rPr>
      </w:pPr>
      <w:r>
        <w:rPr>
          <w:rFonts w:hint="eastAsia" w:ascii="宋体" w:hAnsi="宋体"/>
          <w:bCs/>
          <w:sz w:val="24"/>
          <w:szCs w:val="24"/>
        </w:rPr>
        <w:t>5.入伍学生退役复学后，其所在年级、专业、课程名称、学时、学分发生变化时，可将其原年级专业所修课程学分按学期比例置换为新年级专业课程的学分，置换后仍出现不足学分的，由各系依照新年级专业的人才培养方案指定课程予以补修。</w:t>
      </w:r>
    </w:p>
    <w:p>
      <w:pPr>
        <w:spacing w:line="360" w:lineRule="auto"/>
        <w:ind w:firstLine="480" w:firstLineChars="200"/>
        <w:rPr>
          <w:rFonts w:hint="eastAsia" w:ascii="宋体" w:hAnsi="宋体"/>
          <w:bCs/>
          <w:sz w:val="24"/>
          <w:szCs w:val="24"/>
        </w:rPr>
      </w:pPr>
      <w:r>
        <w:rPr>
          <w:rFonts w:hint="eastAsia" w:ascii="宋体" w:hAnsi="宋体"/>
          <w:bCs/>
          <w:sz w:val="24"/>
          <w:szCs w:val="24"/>
        </w:rPr>
        <w:t>五、学生参加英语类社会化考试（大学英语四六级考试、雅思、托福等）或参加国际交流活动的可给予大学英语类课程学分置换或成绩奖励，但要求必须是在校期间或结业以后一年内完成且有相关证明。</w:t>
      </w:r>
    </w:p>
    <w:p>
      <w:pPr>
        <w:spacing w:line="360" w:lineRule="auto"/>
        <w:ind w:firstLine="480" w:firstLineChars="200"/>
        <w:rPr>
          <w:rFonts w:hint="eastAsia" w:ascii="宋体" w:hAnsi="宋体"/>
          <w:sz w:val="24"/>
          <w:szCs w:val="24"/>
        </w:rPr>
      </w:pPr>
      <w:r>
        <w:rPr>
          <w:rFonts w:hint="eastAsia" w:ascii="宋体" w:hAnsi="宋体"/>
          <w:bCs/>
          <w:sz w:val="24"/>
          <w:szCs w:val="24"/>
        </w:rPr>
        <w:t>1.参加大学英语四六级考试</w:t>
      </w:r>
      <w:r>
        <w:rPr>
          <w:rFonts w:hint="eastAsia" w:ascii="宋体" w:hAnsi="宋体"/>
          <w:sz w:val="24"/>
          <w:szCs w:val="24"/>
        </w:rPr>
        <w:t>或国际认可的英语考试合格的学生，在成绩单下发后四周内，经本人申请，大学英语教学及培训中心审批，报教学事务办公室审核备案后可以置换在校大学英语课程四个学期学分，成绩记为80分。</w:t>
      </w:r>
    </w:p>
    <w:p>
      <w:pPr>
        <w:spacing w:line="360" w:lineRule="auto"/>
        <w:ind w:firstLine="480" w:firstLineChars="200"/>
        <w:rPr>
          <w:rFonts w:hint="eastAsia" w:ascii="宋体" w:hAnsi="宋体"/>
          <w:sz w:val="24"/>
          <w:szCs w:val="24"/>
        </w:rPr>
      </w:pPr>
      <w:r>
        <w:rPr>
          <w:rFonts w:hint="eastAsia" w:ascii="宋体" w:hAnsi="宋体"/>
          <w:sz w:val="24"/>
          <w:szCs w:val="24"/>
        </w:rPr>
        <w:t>2.参加学校组织的英语国家国际交流活动，在交流结束返校后四周内，经本人申请，国际交流办公室证明，大学英语教学及培训中心审批，报教学事务办公室备案，可以给予交流当学期大学英语类课程的成绩奖励，成绩奖励的具体标准依据大学英语课程改革相关文件执行。</w:t>
      </w:r>
    </w:p>
    <w:p>
      <w:pPr>
        <w:spacing w:line="360" w:lineRule="auto"/>
        <w:ind w:firstLine="600" w:firstLineChars="250"/>
        <w:rPr>
          <w:rFonts w:hint="eastAsia" w:ascii="宋体" w:hAnsi="宋体" w:cs="宋体"/>
          <w:kern w:val="0"/>
          <w:sz w:val="24"/>
          <w:szCs w:val="24"/>
        </w:rPr>
      </w:pPr>
      <w:r>
        <w:rPr>
          <w:rFonts w:ascii="宋体" w:hAnsi="宋体" w:cs="宋体"/>
          <w:kern w:val="0"/>
          <w:sz w:val="24"/>
          <w:szCs w:val="24"/>
        </w:rPr>
        <w:t>百分制成绩、成绩等级的对应关系如下表：</w:t>
      </w:r>
    </w:p>
    <w:tbl>
      <w:tblPr>
        <w:tblStyle w:val="5"/>
        <w:tblW w:w="6879"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23"/>
        <w:gridCol w:w="2857"/>
        <w:gridCol w:w="24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941" w:hRule="atLeast"/>
          <w:tblHeader/>
          <w:tblCellSpacing w:w="0" w:type="dxa"/>
          <w:jc w:val="center"/>
        </w:trPr>
        <w:tc>
          <w:tcPr>
            <w:tcW w:w="1523" w:type="dxa"/>
            <w:vAlign w:val="center"/>
          </w:tcPr>
          <w:p>
            <w:pPr>
              <w:widowControl/>
              <w:spacing w:before="100" w:beforeAutospacing="1" w:after="100" w:afterAutospacing="1" w:line="360" w:lineRule="auto"/>
              <w:jc w:val="center"/>
              <w:rPr>
                <w:rFonts w:ascii="宋体" w:hAnsi="宋体" w:cs="宋体"/>
                <w:bCs/>
                <w:kern w:val="0"/>
                <w:sz w:val="24"/>
                <w:szCs w:val="24"/>
              </w:rPr>
            </w:pPr>
            <w:r>
              <w:rPr>
                <w:rFonts w:ascii="宋体" w:hAnsi="宋体" w:cs="宋体"/>
                <w:bCs/>
                <w:kern w:val="0"/>
                <w:sz w:val="24"/>
                <w:szCs w:val="24"/>
              </w:rPr>
              <w:t>百分制</w:t>
            </w:r>
          </w:p>
        </w:tc>
        <w:tc>
          <w:tcPr>
            <w:tcW w:w="2857" w:type="dxa"/>
            <w:vAlign w:val="center"/>
          </w:tcPr>
          <w:p>
            <w:pPr>
              <w:widowControl/>
              <w:spacing w:before="100" w:beforeAutospacing="1" w:after="100" w:afterAutospacing="1" w:line="360" w:lineRule="auto"/>
              <w:jc w:val="center"/>
              <w:rPr>
                <w:rFonts w:ascii="宋体" w:hAnsi="宋体" w:cs="宋体"/>
                <w:bCs/>
                <w:kern w:val="0"/>
                <w:sz w:val="24"/>
                <w:szCs w:val="24"/>
              </w:rPr>
            </w:pPr>
            <w:r>
              <w:rPr>
                <w:rFonts w:hint="eastAsia" w:ascii="宋体" w:hAnsi="宋体" w:cs="宋体"/>
                <w:bCs/>
                <w:kern w:val="0"/>
                <w:sz w:val="24"/>
                <w:szCs w:val="24"/>
              </w:rPr>
              <w:t>CET4成绩</w:t>
            </w:r>
          </w:p>
        </w:tc>
        <w:tc>
          <w:tcPr>
            <w:tcW w:w="2499" w:type="dxa"/>
            <w:tcBorders>
              <w:bottom w:val="single" w:color="auto" w:sz="2" w:space="0"/>
            </w:tcBorders>
            <w:vAlign w:val="center"/>
          </w:tcPr>
          <w:p>
            <w:pPr>
              <w:widowControl/>
              <w:spacing w:before="100" w:beforeAutospacing="1" w:after="100" w:afterAutospacing="1" w:line="360" w:lineRule="auto"/>
              <w:jc w:val="center"/>
              <w:rPr>
                <w:rFonts w:ascii="宋体" w:hAnsi="宋体" w:cs="宋体"/>
                <w:bCs/>
                <w:kern w:val="0"/>
                <w:sz w:val="24"/>
                <w:szCs w:val="24"/>
              </w:rPr>
            </w:pPr>
            <w:r>
              <w:rPr>
                <w:rFonts w:hint="eastAsia" w:ascii="宋体" w:hAnsi="宋体" w:cs="宋体"/>
                <w:bCs/>
                <w:kern w:val="0"/>
                <w:sz w:val="24"/>
                <w:szCs w:val="24"/>
              </w:rPr>
              <w:t>雅思成绩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blCellSpacing w:w="0" w:type="dxa"/>
          <w:jc w:val="center"/>
        </w:trPr>
        <w:tc>
          <w:tcPr>
            <w:tcW w:w="1523" w:type="dxa"/>
            <w:vAlign w:val="center"/>
          </w:tcPr>
          <w:p>
            <w:pPr>
              <w:widowControl/>
              <w:spacing w:before="100" w:beforeAutospacing="1" w:after="100" w:afterAutospacing="1" w:line="360" w:lineRule="auto"/>
              <w:jc w:val="center"/>
              <w:rPr>
                <w:rFonts w:ascii="宋体" w:hAnsi="宋体" w:cs="宋体"/>
                <w:bCs/>
                <w:kern w:val="0"/>
                <w:sz w:val="24"/>
                <w:szCs w:val="24"/>
              </w:rPr>
            </w:pPr>
            <w:r>
              <w:rPr>
                <w:rFonts w:hint="eastAsia" w:ascii="宋体" w:hAnsi="宋体" w:cs="宋体"/>
                <w:bCs/>
                <w:kern w:val="0"/>
                <w:sz w:val="24"/>
                <w:szCs w:val="24"/>
              </w:rPr>
              <w:t>95</w:t>
            </w:r>
          </w:p>
        </w:tc>
        <w:tc>
          <w:tcPr>
            <w:tcW w:w="2857" w:type="dxa"/>
            <w:vAlign w:val="center"/>
          </w:tcPr>
          <w:p>
            <w:pPr>
              <w:widowControl/>
              <w:spacing w:before="100" w:beforeAutospacing="1" w:after="100" w:afterAutospacing="1" w:line="360" w:lineRule="auto"/>
              <w:ind w:left="0" w:leftChars="-2" w:hanging="4" w:hangingChars="2"/>
              <w:jc w:val="center"/>
              <w:rPr>
                <w:rFonts w:ascii="宋体" w:hAnsi="宋体" w:cs="宋体"/>
                <w:bCs/>
                <w:kern w:val="0"/>
                <w:sz w:val="24"/>
                <w:szCs w:val="24"/>
              </w:rPr>
            </w:pPr>
            <w:r>
              <w:rPr>
                <w:rFonts w:hint="eastAsia" w:ascii="宋体" w:hAnsi="宋体" w:cs="宋体"/>
                <w:bCs/>
                <w:kern w:val="0"/>
                <w:sz w:val="24"/>
                <w:szCs w:val="24"/>
              </w:rPr>
              <w:t>710-580</w:t>
            </w:r>
          </w:p>
        </w:tc>
        <w:tc>
          <w:tcPr>
            <w:tcW w:w="2499" w:type="dxa"/>
            <w:vAlign w:val="center"/>
          </w:tcPr>
          <w:p>
            <w:pPr>
              <w:widowControl/>
              <w:spacing w:before="100" w:beforeAutospacing="1" w:after="100" w:afterAutospacing="1" w:line="360" w:lineRule="auto"/>
              <w:jc w:val="center"/>
              <w:rPr>
                <w:rFonts w:ascii="宋体" w:hAnsi="宋体" w:cs="宋体"/>
                <w:bCs/>
                <w:kern w:val="0"/>
                <w:sz w:val="24"/>
                <w:szCs w:val="24"/>
              </w:rPr>
            </w:pPr>
            <w:r>
              <w:rPr>
                <w:rFonts w:hint="eastAsia" w:ascii="宋体" w:hAnsi="宋体" w:cs="宋体"/>
                <w:bCs/>
                <w:kern w:val="0"/>
                <w:sz w:val="24"/>
                <w:szCs w:val="24"/>
              </w:rPr>
              <w:t>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11" w:hRule="atLeast"/>
          <w:tblCellSpacing w:w="0" w:type="dxa"/>
          <w:jc w:val="center"/>
        </w:trPr>
        <w:tc>
          <w:tcPr>
            <w:tcW w:w="1523" w:type="dxa"/>
            <w:vAlign w:val="center"/>
          </w:tcPr>
          <w:p>
            <w:pPr>
              <w:widowControl/>
              <w:spacing w:before="100" w:beforeAutospacing="1" w:after="100" w:afterAutospacing="1" w:line="360" w:lineRule="auto"/>
              <w:jc w:val="center"/>
              <w:rPr>
                <w:rFonts w:ascii="宋体" w:hAnsi="宋体" w:cs="宋体"/>
                <w:bCs/>
                <w:kern w:val="0"/>
                <w:sz w:val="24"/>
                <w:szCs w:val="24"/>
              </w:rPr>
            </w:pPr>
            <w:r>
              <w:rPr>
                <w:rFonts w:hint="eastAsia" w:ascii="宋体" w:hAnsi="宋体" w:cs="宋体"/>
                <w:bCs/>
                <w:kern w:val="0"/>
                <w:sz w:val="24"/>
                <w:szCs w:val="24"/>
              </w:rPr>
              <w:t>90</w:t>
            </w:r>
          </w:p>
        </w:tc>
        <w:tc>
          <w:tcPr>
            <w:tcW w:w="2857" w:type="dxa"/>
            <w:vAlign w:val="center"/>
          </w:tcPr>
          <w:p>
            <w:pPr>
              <w:widowControl/>
              <w:spacing w:before="100" w:beforeAutospacing="1" w:after="100" w:afterAutospacing="1" w:line="360" w:lineRule="auto"/>
              <w:ind w:leftChars="-17" w:hanging="36" w:hangingChars="15"/>
              <w:jc w:val="center"/>
              <w:rPr>
                <w:rFonts w:ascii="宋体" w:hAnsi="宋体" w:cs="宋体"/>
                <w:bCs/>
                <w:kern w:val="0"/>
                <w:sz w:val="24"/>
                <w:szCs w:val="24"/>
              </w:rPr>
            </w:pPr>
            <w:r>
              <w:rPr>
                <w:rFonts w:hint="eastAsia" w:ascii="宋体" w:hAnsi="宋体" w:cs="宋体"/>
                <w:bCs/>
                <w:kern w:val="0"/>
                <w:sz w:val="24"/>
                <w:szCs w:val="24"/>
              </w:rPr>
              <w:t>579-570</w:t>
            </w:r>
          </w:p>
        </w:tc>
        <w:tc>
          <w:tcPr>
            <w:tcW w:w="2499" w:type="dxa"/>
            <w:vAlign w:val="center"/>
          </w:tcPr>
          <w:p>
            <w:pPr>
              <w:widowControl/>
              <w:spacing w:before="100" w:beforeAutospacing="1" w:after="100" w:afterAutospacing="1" w:line="360" w:lineRule="auto"/>
              <w:jc w:val="center"/>
              <w:rPr>
                <w:rFonts w:ascii="宋体" w:hAnsi="宋体" w:cs="宋体"/>
                <w:bCs/>
                <w:kern w:val="0"/>
                <w:sz w:val="24"/>
                <w:szCs w:val="24"/>
              </w:rPr>
            </w:pPr>
            <w:r>
              <w:rPr>
                <w:rFonts w:hint="eastAsia" w:ascii="宋体" w:hAnsi="宋体" w:cs="宋体"/>
                <w:bCs/>
                <w:kern w:val="0"/>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18" w:hRule="atLeast"/>
          <w:tblCellSpacing w:w="0" w:type="dxa"/>
          <w:jc w:val="center"/>
        </w:trPr>
        <w:tc>
          <w:tcPr>
            <w:tcW w:w="1523" w:type="dxa"/>
            <w:vAlign w:val="center"/>
          </w:tcPr>
          <w:p>
            <w:pPr>
              <w:widowControl/>
              <w:spacing w:before="100" w:beforeAutospacing="1" w:after="100" w:afterAutospacing="1" w:line="360" w:lineRule="auto"/>
              <w:jc w:val="center"/>
              <w:rPr>
                <w:rFonts w:ascii="宋体" w:hAnsi="宋体" w:cs="宋体"/>
                <w:bCs/>
                <w:kern w:val="0"/>
                <w:sz w:val="24"/>
                <w:szCs w:val="24"/>
              </w:rPr>
            </w:pPr>
            <w:r>
              <w:rPr>
                <w:rFonts w:hint="eastAsia" w:ascii="宋体" w:hAnsi="宋体" w:cs="宋体"/>
                <w:bCs/>
                <w:kern w:val="0"/>
                <w:sz w:val="24"/>
                <w:szCs w:val="24"/>
              </w:rPr>
              <w:t>85</w:t>
            </w:r>
          </w:p>
        </w:tc>
        <w:tc>
          <w:tcPr>
            <w:tcW w:w="2857" w:type="dxa"/>
            <w:vAlign w:val="center"/>
          </w:tcPr>
          <w:p>
            <w:pPr>
              <w:widowControl/>
              <w:spacing w:before="100" w:beforeAutospacing="1" w:after="100" w:afterAutospacing="1" w:line="360" w:lineRule="auto"/>
              <w:ind w:leftChars="-17" w:hanging="36" w:hangingChars="15"/>
              <w:jc w:val="center"/>
              <w:rPr>
                <w:rFonts w:ascii="宋体" w:hAnsi="宋体" w:cs="宋体"/>
                <w:bCs/>
                <w:kern w:val="0"/>
                <w:sz w:val="24"/>
                <w:szCs w:val="24"/>
              </w:rPr>
            </w:pPr>
            <w:r>
              <w:rPr>
                <w:rFonts w:hint="eastAsia" w:ascii="宋体" w:hAnsi="宋体" w:cs="宋体"/>
                <w:bCs/>
                <w:kern w:val="0"/>
                <w:sz w:val="24"/>
                <w:szCs w:val="24"/>
              </w:rPr>
              <w:t>569-425</w:t>
            </w:r>
          </w:p>
        </w:tc>
        <w:tc>
          <w:tcPr>
            <w:tcW w:w="2499" w:type="dxa"/>
            <w:vAlign w:val="center"/>
          </w:tcPr>
          <w:p>
            <w:pPr>
              <w:widowControl/>
              <w:spacing w:before="100" w:beforeAutospacing="1" w:after="100" w:afterAutospacing="1" w:line="360" w:lineRule="auto"/>
              <w:jc w:val="center"/>
              <w:rPr>
                <w:rFonts w:ascii="宋体" w:hAnsi="宋体" w:cs="宋体"/>
                <w:bCs/>
                <w:kern w:val="0"/>
                <w:sz w:val="24"/>
                <w:szCs w:val="24"/>
              </w:rPr>
            </w:pPr>
            <w:r>
              <w:rPr>
                <w:rFonts w:hint="eastAsia" w:ascii="宋体" w:hAnsi="宋体" w:cs="宋体"/>
                <w:bCs/>
                <w:kern w:val="0"/>
                <w:sz w:val="24"/>
                <w:szCs w:val="24"/>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1" w:hRule="atLeast"/>
          <w:tblCellSpacing w:w="0" w:type="dxa"/>
          <w:jc w:val="center"/>
        </w:trPr>
        <w:tc>
          <w:tcPr>
            <w:tcW w:w="6879" w:type="dxa"/>
            <w:gridSpan w:val="3"/>
            <w:vAlign w:val="center"/>
          </w:tcPr>
          <w:p>
            <w:pPr>
              <w:widowControl/>
              <w:spacing w:before="100" w:beforeAutospacing="1" w:after="100" w:afterAutospacing="1" w:line="360" w:lineRule="auto"/>
              <w:jc w:val="left"/>
              <w:rPr>
                <w:rFonts w:ascii="宋体" w:hAnsi="宋体" w:cs="宋体"/>
                <w:bCs/>
                <w:kern w:val="0"/>
                <w:sz w:val="24"/>
                <w:szCs w:val="24"/>
              </w:rPr>
            </w:pPr>
            <w:r>
              <w:rPr>
                <w:rFonts w:hint="eastAsia" w:ascii="宋体" w:hAnsi="宋体"/>
                <w:bCs/>
                <w:sz w:val="24"/>
                <w:szCs w:val="24"/>
              </w:rPr>
              <w:t>注：六级成绩425分及以上者大学英语课程四个学期成绩均按95分计算。</w:t>
            </w:r>
          </w:p>
        </w:tc>
      </w:tr>
    </w:tbl>
    <w:p>
      <w:pPr>
        <w:spacing w:line="360" w:lineRule="auto"/>
        <w:jc w:val="left"/>
        <w:rPr>
          <w:rFonts w:hint="eastAsia" w:ascii="宋体" w:hAnsi="宋体"/>
          <w:bCs/>
          <w:sz w:val="24"/>
          <w:szCs w:val="24"/>
        </w:rPr>
      </w:pPr>
      <w:r>
        <w:rPr>
          <w:rFonts w:hint="eastAsia" w:ascii="宋体" w:hAnsi="宋体"/>
          <w:bCs/>
          <w:sz w:val="24"/>
          <w:szCs w:val="24"/>
        </w:rPr>
        <w:t xml:space="preserve">      </w:t>
      </w:r>
      <w:bookmarkStart w:id="3" w:name="OLE_LINK23"/>
      <w:bookmarkStart w:id="4" w:name="OLE_LINK25"/>
      <w:r>
        <w:rPr>
          <w:rFonts w:hint="eastAsia" w:ascii="宋体" w:hAnsi="宋体"/>
          <w:bCs/>
          <w:sz w:val="24"/>
          <w:szCs w:val="24"/>
        </w:rPr>
        <w:t>六、</w:t>
      </w:r>
      <w:bookmarkEnd w:id="3"/>
      <w:bookmarkStart w:id="5" w:name="OLE_LINK27"/>
      <w:bookmarkStart w:id="6" w:name="OLE_LINK21"/>
      <w:r>
        <w:rPr>
          <w:rFonts w:hint="eastAsia" w:ascii="宋体" w:hAnsi="宋体"/>
          <w:bCs/>
          <w:sz w:val="24"/>
          <w:szCs w:val="24"/>
        </w:rPr>
        <w:t>教学计划规定之外的第二课堂学分可以等学分置换</w:t>
      </w:r>
      <w:bookmarkStart w:id="7" w:name="OLE_LINK24"/>
      <w:r>
        <w:rPr>
          <w:rFonts w:hint="eastAsia" w:ascii="宋体" w:hAnsi="宋体"/>
          <w:bCs/>
          <w:sz w:val="24"/>
          <w:szCs w:val="24"/>
        </w:rPr>
        <w:t>通识选修课学分</w:t>
      </w:r>
      <w:bookmarkEnd w:id="7"/>
      <w:r>
        <w:rPr>
          <w:rFonts w:hint="eastAsia" w:ascii="宋体" w:hAnsi="宋体"/>
          <w:bCs/>
          <w:sz w:val="24"/>
          <w:szCs w:val="24"/>
        </w:rPr>
        <w:t>最高6分（</w:t>
      </w:r>
      <w:bookmarkStart w:id="8" w:name="OLE_LINK26"/>
      <w:r>
        <w:rPr>
          <w:rFonts w:hint="eastAsia" w:ascii="宋体" w:hAnsi="宋体"/>
          <w:bCs/>
          <w:sz w:val="24"/>
          <w:szCs w:val="24"/>
        </w:rPr>
        <w:t>有考试作弊或旷考记录者除外</w:t>
      </w:r>
      <w:bookmarkEnd w:id="8"/>
      <w:r>
        <w:rPr>
          <w:rFonts w:hint="eastAsia" w:ascii="宋体" w:hAnsi="宋体"/>
          <w:bCs/>
          <w:sz w:val="24"/>
          <w:szCs w:val="24"/>
        </w:rPr>
        <w:t>）</w:t>
      </w:r>
      <w:bookmarkEnd w:id="4"/>
      <w:bookmarkEnd w:id="5"/>
      <w:bookmarkStart w:id="9" w:name="OLE_LINK22"/>
      <w:r>
        <w:rPr>
          <w:rFonts w:hint="eastAsia" w:ascii="宋体" w:hAnsi="宋体"/>
          <w:bCs/>
          <w:sz w:val="24"/>
          <w:szCs w:val="24"/>
        </w:rPr>
        <w:t>，成绩记为良好（85分）。</w:t>
      </w:r>
    </w:p>
    <w:p>
      <w:pPr>
        <w:spacing w:line="360" w:lineRule="auto"/>
        <w:jc w:val="left"/>
        <w:rPr>
          <w:rFonts w:hint="eastAsia" w:ascii="宋体" w:hAnsi="宋体"/>
          <w:b/>
          <w:bCs/>
          <w:sz w:val="24"/>
          <w:szCs w:val="24"/>
        </w:rPr>
      </w:pPr>
      <w:r>
        <w:rPr>
          <w:rFonts w:hint="eastAsia" w:ascii="宋体" w:hAnsi="宋体"/>
          <w:b/>
          <w:bCs/>
          <w:color w:val="0070C0"/>
          <w:sz w:val="24"/>
          <w:szCs w:val="24"/>
        </w:rPr>
        <w:t xml:space="preserve">                        </w:t>
      </w:r>
      <w:r>
        <w:rPr>
          <w:rFonts w:hint="eastAsia" w:ascii="宋体" w:hAnsi="宋体"/>
          <w:b/>
          <w:bCs/>
          <w:sz w:val="24"/>
          <w:szCs w:val="24"/>
        </w:rPr>
        <w:t>第</w:t>
      </w:r>
      <w:bookmarkEnd w:id="6"/>
      <w:r>
        <w:rPr>
          <w:rFonts w:hint="eastAsia" w:ascii="宋体" w:hAnsi="宋体"/>
          <w:b/>
          <w:bCs/>
          <w:sz w:val="24"/>
          <w:szCs w:val="24"/>
        </w:rPr>
        <w:t>二</w:t>
      </w:r>
      <w:bookmarkEnd w:id="9"/>
      <w:r>
        <w:rPr>
          <w:rFonts w:hint="eastAsia" w:ascii="宋体" w:hAnsi="宋体"/>
          <w:b/>
          <w:bCs/>
          <w:sz w:val="24"/>
          <w:szCs w:val="24"/>
        </w:rPr>
        <w:t>课堂学分认定标准</w:t>
      </w:r>
    </w:p>
    <w:tbl>
      <w:tblPr>
        <w:tblStyle w:val="5"/>
        <w:tblW w:w="8882" w:type="dxa"/>
        <w:tblInd w:w="0" w:type="dxa"/>
        <w:tblLayout w:type="fixed"/>
        <w:tblCellMar>
          <w:top w:w="0" w:type="dxa"/>
          <w:left w:w="108" w:type="dxa"/>
          <w:bottom w:w="0" w:type="dxa"/>
          <w:right w:w="108" w:type="dxa"/>
        </w:tblCellMar>
      </w:tblPr>
      <w:tblGrid>
        <w:gridCol w:w="700"/>
        <w:gridCol w:w="2229"/>
        <w:gridCol w:w="3621"/>
        <w:gridCol w:w="772"/>
        <w:gridCol w:w="780"/>
        <w:gridCol w:w="780"/>
      </w:tblGrid>
      <w:tr>
        <w:tblPrEx>
          <w:tblLayout w:type="fixed"/>
          <w:tblCellMar>
            <w:top w:w="0" w:type="dxa"/>
            <w:left w:w="108" w:type="dxa"/>
            <w:bottom w:w="0" w:type="dxa"/>
            <w:right w:w="108" w:type="dxa"/>
          </w:tblCellMar>
        </w:tblPrEx>
        <w:trPr>
          <w:trHeight w:val="604"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类别</w:t>
            </w: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项目</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认定标准</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学分</w:t>
            </w:r>
          </w:p>
        </w:tc>
        <w:tc>
          <w:tcPr>
            <w:tcW w:w="780"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累计</w:t>
            </w:r>
          </w:p>
          <w:p>
            <w:pPr>
              <w:widowControl/>
              <w:jc w:val="center"/>
              <w:rPr>
                <w:rFonts w:hint="eastAsia" w:ascii="宋体" w:hAnsi="宋体" w:cs="宋体"/>
                <w:kern w:val="0"/>
              </w:rPr>
            </w:pPr>
            <w:r>
              <w:rPr>
                <w:rFonts w:hint="eastAsia" w:ascii="宋体" w:hAnsi="宋体" w:cs="宋体"/>
                <w:kern w:val="0"/>
              </w:rPr>
              <w:t>上限</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认定</w:t>
            </w:r>
          </w:p>
          <w:p>
            <w:pPr>
              <w:widowControl/>
              <w:jc w:val="center"/>
              <w:rPr>
                <w:rFonts w:hint="eastAsia" w:ascii="宋体" w:hAnsi="宋体" w:cs="宋体"/>
                <w:kern w:val="0"/>
              </w:rPr>
            </w:pPr>
            <w:r>
              <w:rPr>
                <w:rFonts w:hint="eastAsia" w:ascii="宋体" w:hAnsi="宋体" w:cs="宋体"/>
                <w:kern w:val="0"/>
              </w:rPr>
              <w:t>单位</w:t>
            </w:r>
          </w:p>
        </w:tc>
      </w:tr>
      <w:tr>
        <w:tblPrEx>
          <w:tblLayout w:type="fixed"/>
          <w:tblCellMar>
            <w:top w:w="0" w:type="dxa"/>
            <w:left w:w="108" w:type="dxa"/>
            <w:bottom w:w="0" w:type="dxa"/>
            <w:right w:w="108" w:type="dxa"/>
          </w:tblCellMar>
        </w:tblPrEx>
        <w:trPr>
          <w:trHeight w:val="270" w:hRule="atLeast"/>
        </w:trPr>
        <w:tc>
          <w:tcPr>
            <w:tcW w:w="700"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ascii="宋体" w:hAnsi="宋体" w:cs="宋体"/>
                <w:kern w:val="0"/>
              </w:rPr>
            </w:pPr>
            <w:r>
              <w:rPr>
                <w:rFonts w:hint="eastAsia" w:ascii="宋体" w:hAnsi="宋体" w:cs="宋体"/>
                <w:kern w:val="0"/>
              </w:rPr>
              <w:t>竞赛类</w:t>
            </w:r>
          </w:p>
        </w:tc>
        <w:tc>
          <w:tcPr>
            <w:tcW w:w="2229" w:type="dxa"/>
            <w:vMerge w:val="restart"/>
            <w:tcBorders>
              <w:top w:val="nil"/>
              <w:left w:val="nil"/>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体育比赛</w:t>
            </w:r>
          </w:p>
          <w:p>
            <w:pPr>
              <w:widowControl/>
              <w:jc w:val="center"/>
              <w:rPr>
                <w:rFonts w:ascii="宋体" w:hAnsi="宋体" w:cs="宋体"/>
                <w:kern w:val="0"/>
              </w:rPr>
            </w:pPr>
            <w:r>
              <w:rPr>
                <w:rFonts w:hint="eastAsia" w:ascii="宋体" w:hAnsi="宋体" w:cs="宋体"/>
                <w:kern w:val="0"/>
              </w:rPr>
              <w:t>(体育主管部门举办）</w:t>
            </w: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省级一等奖以上</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p>
        </w:tc>
        <w:tc>
          <w:tcPr>
            <w:tcW w:w="780" w:type="dxa"/>
            <w:vMerge w:val="restart"/>
            <w:tcBorders>
              <w:top w:val="nil"/>
              <w:left w:val="nil"/>
              <w:right w:val="single" w:color="auto" w:sz="4" w:space="0"/>
            </w:tcBorders>
            <w:vAlign w:val="center"/>
          </w:tcPr>
          <w:p>
            <w:pPr>
              <w:widowControl/>
              <w:jc w:val="center"/>
              <w:rPr>
                <w:rFonts w:hint="eastAsia" w:ascii="宋体" w:hAnsi="宋体" w:cs="宋体"/>
                <w:kern w:val="0"/>
              </w:rPr>
            </w:pPr>
          </w:p>
        </w:tc>
        <w:tc>
          <w:tcPr>
            <w:tcW w:w="780"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各系</w:t>
            </w: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continue"/>
            <w:tcBorders>
              <w:left w:val="nil"/>
              <w:right w:val="single" w:color="auto" w:sz="4" w:space="0"/>
            </w:tcBorders>
            <w:vAlign w:val="center"/>
          </w:tcPr>
          <w:p>
            <w:pPr>
              <w:widowControl/>
              <w:jc w:val="center"/>
              <w:rPr>
                <w:rFonts w:ascii="宋体" w:hAnsi="宋体" w:cs="宋体"/>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省二等奖</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p>
        </w:tc>
        <w:tc>
          <w:tcPr>
            <w:tcW w:w="780" w:type="dxa"/>
            <w:vMerge w:val="continue"/>
            <w:tcBorders>
              <w:left w:val="nil"/>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continue"/>
            <w:tcBorders>
              <w:left w:val="nil"/>
              <w:bottom w:val="single" w:color="auto" w:sz="4" w:space="0"/>
              <w:right w:val="single" w:color="auto" w:sz="4" w:space="0"/>
            </w:tcBorders>
            <w:vAlign w:val="center"/>
          </w:tcPr>
          <w:p>
            <w:pPr>
              <w:widowControl/>
              <w:jc w:val="center"/>
              <w:rPr>
                <w:rFonts w:ascii="宋体" w:hAnsi="宋体" w:cs="宋体"/>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省三等奖</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780" w:type="dxa"/>
            <w:vMerge w:val="continue"/>
            <w:tcBorders>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restart"/>
            <w:tcBorders>
              <w:left w:val="nil"/>
              <w:right w:val="single" w:color="auto" w:sz="4" w:space="0"/>
            </w:tcBorders>
            <w:vAlign w:val="center"/>
          </w:tcPr>
          <w:p>
            <w:pPr>
              <w:widowControl/>
              <w:jc w:val="center"/>
              <w:rPr>
                <w:rFonts w:ascii="宋体" w:hAnsi="宋体" w:cs="宋体"/>
                <w:color w:val="FF0000"/>
                <w:kern w:val="0"/>
              </w:rPr>
            </w:pPr>
            <w:r>
              <w:rPr>
                <w:rFonts w:hint="eastAsia" w:ascii="宋体" w:hAnsi="宋体" w:cs="楷体"/>
                <w:color w:val="FF0000"/>
              </w:rPr>
              <w:t>参加国际级、国家级学科竞赛</w:t>
            </w: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rPr>
            </w:pPr>
            <w:r>
              <w:rPr>
                <w:rFonts w:hint="eastAsia" w:ascii="宋体" w:hAnsi="宋体" w:cs="宋体"/>
                <w:color w:val="FF0000"/>
                <w:kern w:val="0"/>
              </w:rPr>
              <w:t>一等奖</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rPr>
            </w:pPr>
            <w:r>
              <w:rPr>
                <w:rFonts w:hint="eastAsia" w:ascii="宋体" w:hAnsi="宋体" w:cs="宋体"/>
                <w:color w:val="FF0000"/>
                <w:kern w:val="0"/>
              </w:rPr>
              <w:t>4</w:t>
            </w:r>
          </w:p>
        </w:tc>
        <w:tc>
          <w:tcPr>
            <w:tcW w:w="780" w:type="dxa"/>
            <w:tcBorders>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continue"/>
            <w:tcBorders>
              <w:left w:val="nil"/>
              <w:right w:val="single" w:color="auto" w:sz="4" w:space="0"/>
            </w:tcBorders>
            <w:vAlign w:val="center"/>
          </w:tcPr>
          <w:p>
            <w:pPr>
              <w:widowControl/>
              <w:jc w:val="center"/>
              <w:rPr>
                <w:rFonts w:ascii="宋体" w:hAnsi="宋体" w:cs="宋体"/>
                <w:color w:val="FF0000"/>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rPr>
            </w:pPr>
            <w:r>
              <w:rPr>
                <w:rFonts w:hint="eastAsia" w:ascii="宋体" w:hAnsi="宋体" w:cs="宋体"/>
                <w:color w:val="FF0000"/>
                <w:kern w:val="0"/>
              </w:rPr>
              <w:t>二等奖</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rPr>
            </w:pPr>
            <w:r>
              <w:rPr>
                <w:rFonts w:hint="eastAsia" w:ascii="宋体" w:hAnsi="宋体" w:cs="宋体"/>
                <w:color w:val="FF0000"/>
                <w:kern w:val="0"/>
              </w:rPr>
              <w:t>3</w:t>
            </w:r>
          </w:p>
        </w:tc>
        <w:tc>
          <w:tcPr>
            <w:tcW w:w="780" w:type="dxa"/>
            <w:tcBorders>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continue"/>
            <w:tcBorders>
              <w:left w:val="nil"/>
              <w:bottom w:val="single" w:color="auto" w:sz="4" w:space="0"/>
              <w:right w:val="single" w:color="auto" w:sz="4" w:space="0"/>
            </w:tcBorders>
            <w:vAlign w:val="center"/>
          </w:tcPr>
          <w:p>
            <w:pPr>
              <w:widowControl/>
              <w:jc w:val="center"/>
              <w:rPr>
                <w:rFonts w:ascii="宋体" w:hAnsi="宋体" w:cs="宋体"/>
                <w:color w:val="FF0000"/>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rPr>
            </w:pPr>
            <w:r>
              <w:rPr>
                <w:rFonts w:hint="eastAsia" w:ascii="宋体" w:hAnsi="宋体" w:cs="宋体"/>
                <w:color w:val="FF0000"/>
                <w:kern w:val="0"/>
              </w:rPr>
              <w:t>三等奖</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rPr>
            </w:pPr>
            <w:r>
              <w:rPr>
                <w:rFonts w:hint="eastAsia" w:ascii="宋体" w:hAnsi="宋体" w:cs="宋体"/>
                <w:color w:val="FF0000"/>
                <w:kern w:val="0"/>
              </w:rPr>
              <w:t>2</w:t>
            </w:r>
          </w:p>
        </w:tc>
        <w:tc>
          <w:tcPr>
            <w:tcW w:w="780" w:type="dxa"/>
            <w:tcBorders>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restart"/>
            <w:tcBorders>
              <w:left w:val="nil"/>
              <w:right w:val="single" w:color="auto" w:sz="4" w:space="0"/>
            </w:tcBorders>
            <w:vAlign w:val="center"/>
          </w:tcPr>
          <w:p>
            <w:pPr>
              <w:widowControl/>
              <w:jc w:val="center"/>
              <w:rPr>
                <w:rFonts w:ascii="宋体" w:hAnsi="宋体" w:cs="宋体"/>
                <w:color w:val="FF0000"/>
                <w:kern w:val="0"/>
              </w:rPr>
            </w:pPr>
            <w:r>
              <w:rPr>
                <w:rFonts w:hint="eastAsia" w:ascii="宋体" w:hAnsi="宋体" w:cs="楷体"/>
                <w:color w:val="FF0000"/>
              </w:rPr>
              <w:t>参加省部级学科竞赛</w:t>
            </w: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rPr>
            </w:pPr>
            <w:r>
              <w:rPr>
                <w:rFonts w:hint="eastAsia" w:ascii="宋体" w:hAnsi="宋体" w:cs="宋体"/>
                <w:color w:val="FF0000"/>
                <w:kern w:val="0"/>
              </w:rPr>
              <w:t>一等奖</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rPr>
            </w:pPr>
            <w:r>
              <w:rPr>
                <w:rFonts w:hint="eastAsia" w:ascii="宋体" w:hAnsi="宋体" w:cs="宋体"/>
                <w:color w:val="FF0000"/>
                <w:kern w:val="0"/>
              </w:rPr>
              <w:t>3</w:t>
            </w:r>
          </w:p>
        </w:tc>
        <w:tc>
          <w:tcPr>
            <w:tcW w:w="780" w:type="dxa"/>
            <w:tcBorders>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continue"/>
            <w:tcBorders>
              <w:left w:val="nil"/>
              <w:right w:val="single" w:color="auto" w:sz="4" w:space="0"/>
            </w:tcBorders>
            <w:vAlign w:val="center"/>
          </w:tcPr>
          <w:p>
            <w:pPr>
              <w:widowControl/>
              <w:jc w:val="center"/>
              <w:rPr>
                <w:rFonts w:ascii="宋体" w:hAnsi="宋体" w:cs="宋体"/>
                <w:color w:val="FF0000"/>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rPr>
            </w:pPr>
            <w:r>
              <w:rPr>
                <w:rFonts w:hint="eastAsia" w:ascii="宋体" w:hAnsi="宋体" w:cs="宋体"/>
                <w:color w:val="FF0000"/>
                <w:kern w:val="0"/>
              </w:rPr>
              <w:t>二等奖</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rPr>
            </w:pPr>
            <w:r>
              <w:rPr>
                <w:rFonts w:hint="eastAsia" w:ascii="宋体" w:hAnsi="宋体" w:cs="宋体"/>
                <w:color w:val="FF0000"/>
                <w:kern w:val="0"/>
              </w:rPr>
              <w:t>2</w:t>
            </w:r>
          </w:p>
        </w:tc>
        <w:tc>
          <w:tcPr>
            <w:tcW w:w="780" w:type="dxa"/>
            <w:tcBorders>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continue"/>
            <w:tcBorders>
              <w:left w:val="nil"/>
              <w:bottom w:val="single" w:color="auto" w:sz="4" w:space="0"/>
              <w:right w:val="single" w:color="auto" w:sz="4" w:space="0"/>
            </w:tcBorders>
            <w:vAlign w:val="center"/>
          </w:tcPr>
          <w:p>
            <w:pPr>
              <w:widowControl/>
              <w:jc w:val="center"/>
              <w:rPr>
                <w:rFonts w:ascii="宋体" w:hAnsi="宋体" w:cs="宋体"/>
                <w:color w:val="FF0000"/>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rPr>
            </w:pPr>
            <w:r>
              <w:rPr>
                <w:rFonts w:hint="eastAsia" w:ascii="宋体" w:hAnsi="宋体" w:cs="宋体"/>
                <w:color w:val="FF0000"/>
                <w:kern w:val="0"/>
              </w:rPr>
              <w:t>三等奖</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FF0000"/>
                <w:kern w:val="0"/>
              </w:rPr>
            </w:pPr>
            <w:r>
              <w:rPr>
                <w:rFonts w:hint="eastAsia" w:ascii="宋体" w:hAnsi="宋体" w:cs="宋体"/>
                <w:color w:val="FF0000"/>
                <w:kern w:val="0"/>
              </w:rPr>
              <w:t>1</w:t>
            </w:r>
          </w:p>
        </w:tc>
        <w:tc>
          <w:tcPr>
            <w:tcW w:w="780" w:type="dxa"/>
            <w:tcBorders>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restart"/>
            <w:tcBorders>
              <w:top w:val="nil"/>
              <w:left w:val="nil"/>
              <w:right w:val="single" w:color="auto" w:sz="4" w:space="0"/>
            </w:tcBorders>
            <w:vAlign w:val="center"/>
          </w:tcPr>
          <w:p>
            <w:pPr>
              <w:widowControl/>
              <w:jc w:val="center"/>
              <w:rPr>
                <w:rFonts w:ascii="宋体" w:hAnsi="宋体" w:cs="宋体"/>
                <w:kern w:val="0"/>
              </w:rPr>
            </w:pPr>
            <w:r>
              <w:rPr>
                <w:rFonts w:hint="eastAsia" w:ascii="宋体" w:hAnsi="宋体" w:cs="宋体"/>
                <w:kern w:val="0"/>
              </w:rPr>
              <w:t>参加校级学科竞赛</w:t>
            </w: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一等奖</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rPr>
            </w:pPr>
            <w:r>
              <w:rPr>
                <w:rFonts w:hint="eastAsia" w:ascii="宋体" w:hAnsi="宋体" w:cs="宋体"/>
                <w:color w:val="FF0000"/>
                <w:kern w:val="0"/>
              </w:rPr>
              <w:t>1</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vAlign w:val="center"/>
          </w:tcPr>
          <w:p>
            <w:pPr>
              <w:jc w:val="center"/>
              <w:rPr>
                <w:rFonts w:ascii="宋体" w:hAnsi="宋体" w:cs="宋体"/>
                <w:kern w:val="0"/>
              </w:rPr>
            </w:pPr>
          </w:p>
        </w:tc>
        <w:tc>
          <w:tcPr>
            <w:tcW w:w="2229" w:type="dxa"/>
            <w:vMerge w:val="continue"/>
            <w:tcBorders>
              <w:left w:val="nil"/>
              <w:right w:val="single" w:color="auto" w:sz="4" w:space="0"/>
            </w:tcBorders>
            <w:vAlign w:val="center"/>
          </w:tcPr>
          <w:p>
            <w:pPr>
              <w:widowControl/>
              <w:jc w:val="center"/>
              <w:rPr>
                <w:rFonts w:ascii="宋体" w:hAnsi="宋体" w:cs="宋体"/>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二等奖</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rPr>
            </w:pPr>
            <w:r>
              <w:rPr>
                <w:rFonts w:hint="eastAsia" w:ascii="宋体" w:hAnsi="宋体" w:cs="宋体"/>
                <w:color w:val="FF0000"/>
                <w:kern w:val="0"/>
              </w:rPr>
              <w:t>0.5</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408"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kern w:val="0"/>
              </w:rPr>
            </w:pPr>
          </w:p>
        </w:tc>
        <w:tc>
          <w:tcPr>
            <w:tcW w:w="2229" w:type="dxa"/>
            <w:vMerge w:val="continue"/>
            <w:tcBorders>
              <w:left w:val="nil"/>
              <w:bottom w:val="single" w:color="auto" w:sz="4" w:space="0"/>
              <w:right w:val="single" w:color="auto" w:sz="4" w:space="0"/>
            </w:tcBorders>
            <w:vAlign w:val="center"/>
          </w:tcPr>
          <w:p>
            <w:pPr>
              <w:widowControl/>
              <w:jc w:val="center"/>
              <w:rPr>
                <w:rFonts w:ascii="宋体" w:hAnsi="宋体" w:cs="宋体"/>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三等奖</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color w:val="FF0000"/>
                <w:kern w:val="0"/>
              </w:rPr>
            </w:pPr>
            <w:r>
              <w:rPr>
                <w:rFonts w:hint="eastAsia" w:ascii="宋体" w:hAnsi="宋体" w:cs="宋体"/>
                <w:color w:val="FF0000"/>
                <w:kern w:val="0"/>
              </w:rPr>
              <w:t>0</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rPr>
            </w:pPr>
          </w:p>
        </w:tc>
        <w:tc>
          <w:tcPr>
            <w:tcW w:w="2229" w:type="dxa"/>
            <w:tcBorders>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全程参加学科竞赛培训并完成任务</w:t>
            </w:r>
          </w:p>
        </w:tc>
        <w:tc>
          <w:tcPr>
            <w:tcW w:w="362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1周以上，经考核成绩合格</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0.5</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330" w:hRule="atLeast"/>
        </w:trPr>
        <w:tc>
          <w:tcPr>
            <w:tcW w:w="700"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宋体" w:hAnsi="宋体" w:cs="宋体"/>
                <w:kern w:val="0"/>
              </w:rPr>
            </w:pPr>
            <w:r>
              <w:rPr>
                <w:rFonts w:hint="eastAsia" w:ascii="宋体" w:hAnsi="宋体" w:cs="宋体"/>
                <w:kern w:val="0"/>
              </w:rPr>
              <w:t>科研类</w:t>
            </w:r>
          </w:p>
        </w:tc>
        <w:tc>
          <w:tcPr>
            <w:tcW w:w="2229" w:type="dxa"/>
            <w:vMerge w:val="restart"/>
            <w:tcBorders>
              <w:top w:val="single" w:color="auto" w:sz="4" w:space="0"/>
              <w:left w:val="nil"/>
              <w:right w:val="single" w:color="auto" w:sz="4" w:space="0"/>
            </w:tcBorders>
            <w:vAlign w:val="center"/>
          </w:tcPr>
          <w:p>
            <w:pPr>
              <w:jc w:val="center"/>
              <w:rPr>
                <w:rFonts w:hint="eastAsia" w:ascii="宋体" w:hAnsi="宋体" w:cs="宋体"/>
                <w:kern w:val="0"/>
              </w:rPr>
            </w:pPr>
            <w:r>
              <w:rPr>
                <w:rFonts w:hint="eastAsia" w:ascii="宋体" w:hAnsi="宋体" w:cs="宋体"/>
                <w:kern w:val="0"/>
              </w:rPr>
              <w:t>在公开出版的刊物上发表专业论文</w:t>
            </w:r>
          </w:p>
        </w:tc>
        <w:tc>
          <w:tcPr>
            <w:tcW w:w="362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rPr>
            </w:pPr>
            <w:r>
              <w:rPr>
                <w:rFonts w:hint="eastAsia" w:ascii="宋体" w:hAnsi="宋体" w:cs="宋体"/>
                <w:kern w:val="0"/>
              </w:rPr>
              <w:t>SCI、SSCI、EI、CSSCI、CSCD、ISTP、ISSHP等收录的论文</w:t>
            </w:r>
          </w:p>
        </w:tc>
        <w:tc>
          <w:tcPr>
            <w:tcW w:w="77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rPr>
            </w:pPr>
            <w:r>
              <w:rPr>
                <w:rFonts w:hint="eastAsia" w:ascii="宋体" w:hAnsi="宋体" w:cs="宋体"/>
                <w:kern w:val="0"/>
              </w:rPr>
              <w:t>3</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restart"/>
            <w:tcBorders>
              <w:top w:val="single" w:color="auto" w:sz="4" w:space="0"/>
              <w:left w:val="nil"/>
              <w:right w:val="single" w:color="auto" w:sz="4" w:space="0"/>
            </w:tcBorders>
            <w:vAlign w:val="center"/>
          </w:tcPr>
          <w:p>
            <w:pPr>
              <w:jc w:val="center"/>
              <w:rPr>
                <w:rFonts w:ascii="宋体" w:hAnsi="宋体" w:cs="宋体"/>
                <w:kern w:val="0"/>
              </w:rPr>
            </w:pPr>
            <w:r>
              <w:rPr>
                <w:rFonts w:hint="eastAsia" w:ascii="宋体" w:hAnsi="宋体" w:cs="宋体"/>
                <w:kern w:val="0"/>
              </w:rPr>
              <w:t>各系</w:t>
            </w: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continue"/>
            <w:tcBorders>
              <w:left w:val="nil"/>
              <w:right w:val="single" w:color="auto" w:sz="4" w:space="0"/>
            </w:tcBorders>
            <w:vAlign w:val="center"/>
          </w:tcPr>
          <w:p>
            <w:pPr>
              <w:widowControl/>
              <w:jc w:val="center"/>
              <w:rPr>
                <w:rFonts w:ascii="宋体" w:hAnsi="宋体" w:cs="宋体"/>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中文核心期刊上发表的论文（北大版）</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nil"/>
              <w:right w:val="single" w:color="auto" w:sz="4" w:space="0"/>
            </w:tcBorders>
            <w:vAlign w:val="center"/>
          </w:tcPr>
          <w:p>
            <w:pPr>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continue"/>
            <w:tcBorders>
              <w:left w:val="nil"/>
              <w:bottom w:val="single" w:color="auto" w:sz="4" w:space="0"/>
              <w:right w:val="single" w:color="auto" w:sz="4" w:space="0"/>
            </w:tcBorders>
            <w:vAlign w:val="center"/>
          </w:tcPr>
          <w:p>
            <w:pPr>
              <w:widowControl/>
              <w:jc w:val="center"/>
              <w:rPr>
                <w:rFonts w:ascii="宋体" w:hAnsi="宋体" w:cs="宋体"/>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中文一般期刊上发表的论文及公开出版国际会议论文集</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nil"/>
              <w:right w:val="single" w:color="auto" w:sz="4" w:space="0"/>
            </w:tcBorders>
            <w:vAlign w:val="center"/>
          </w:tcPr>
          <w:p>
            <w:pPr>
              <w:jc w:val="center"/>
              <w:rPr>
                <w:rFonts w:ascii="宋体" w:hAnsi="宋体" w:cs="宋体"/>
                <w:kern w:val="0"/>
              </w:rPr>
            </w:pPr>
          </w:p>
        </w:tc>
      </w:tr>
      <w:tr>
        <w:tblPrEx>
          <w:tblLayout w:type="fixed"/>
          <w:tblCellMar>
            <w:top w:w="0" w:type="dxa"/>
            <w:left w:w="108" w:type="dxa"/>
            <w:bottom w:w="0" w:type="dxa"/>
            <w:right w:w="108" w:type="dxa"/>
          </w:tblCellMar>
        </w:tblPrEx>
        <w:trPr>
          <w:trHeight w:val="307"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发表文艺作品</w:t>
            </w: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省级以上刊物公开发表</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nil"/>
              <w:right w:val="single" w:color="auto" w:sz="4" w:space="0"/>
            </w:tcBorders>
            <w:vAlign w:val="center"/>
          </w:tcPr>
          <w:p>
            <w:pPr>
              <w:jc w:val="center"/>
              <w:rPr>
                <w:rFonts w:ascii="宋体" w:hAnsi="宋体" w:cs="宋体"/>
                <w:kern w:val="0"/>
              </w:rPr>
            </w:pPr>
          </w:p>
        </w:tc>
      </w:tr>
      <w:tr>
        <w:tblPrEx>
          <w:tblLayout w:type="fixed"/>
          <w:tblCellMar>
            <w:top w:w="0" w:type="dxa"/>
            <w:left w:w="108" w:type="dxa"/>
            <w:bottom w:w="0" w:type="dxa"/>
            <w:right w:w="108" w:type="dxa"/>
          </w:tblCellMar>
        </w:tblPrEx>
        <w:trPr>
          <w:trHeight w:val="307" w:hRule="atLeast"/>
        </w:trPr>
        <w:tc>
          <w:tcPr>
            <w:tcW w:w="700" w:type="dxa"/>
            <w:vMerge w:val="continue"/>
            <w:tcBorders>
              <w:left w:val="single" w:color="auto" w:sz="4" w:space="0"/>
              <w:right w:val="single" w:color="auto" w:sz="4" w:space="0"/>
            </w:tcBorders>
            <w:textDirection w:val="tbRlV"/>
            <w:vAlign w:val="center"/>
          </w:tcPr>
          <w:p>
            <w:pPr>
              <w:ind w:left="113" w:right="113"/>
              <w:jc w:val="center"/>
            </w:pPr>
          </w:p>
        </w:tc>
        <w:tc>
          <w:tcPr>
            <w:tcW w:w="2229"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rPr>
            </w:pPr>
            <w:r>
              <w:rPr>
                <w:rFonts w:hint="eastAsia" w:ascii="宋体" w:hAnsi="宋体" w:cs="宋体"/>
                <w:bCs/>
                <w:kern w:val="0"/>
              </w:rPr>
              <w:t>发表个人作品展</w:t>
            </w:r>
          </w:p>
        </w:tc>
        <w:tc>
          <w:tcPr>
            <w:tcW w:w="3621"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rPr>
            </w:pPr>
            <w:r>
              <w:rPr>
                <w:rFonts w:hint="eastAsia" w:ascii="宋体" w:hAnsi="宋体" w:cs="宋体"/>
                <w:bCs/>
                <w:kern w:val="0"/>
              </w:rPr>
              <w:t>校内</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rPr>
            </w:pPr>
            <w:r>
              <w:rPr>
                <w:rFonts w:hint="eastAsia" w:ascii="宋体" w:hAnsi="宋体" w:cs="宋体"/>
                <w:bCs/>
                <w:kern w:val="0"/>
              </w:rPr>
              <w:t>1</w:t>
            </w:r>
          </w:p>
        </w:tc>
        <w:tc>
          <w:tcPr>
            <w:tcW w:w="780" w:type="dxa"/>
            <w:tcBorders>
              <w:top w:val="nil"/>
              <w:left w:val="nil"/>
              <w:bottom w:val="single" w:color="auto" w:sz="4" w:space="0"/>
              <w:right w:val="single" w:color="auto" w:sz="4" w:space="0"/>
            </w:tcBorders>
            <w:vAlign w:val="center"/>
          </w:tcPr>
          <w:p>
            <w:pPr>
              <w:widowControl/>
              <w:jc w:val="center"/>
              <w:rPr>
                <w:rFonts w:hint="eastAsia" w:ascii="宋体" w:hAnsi="宋体" w:cs="宋体"/>
                <w:bCs/>
                <w:kern w:val="0"/>
              </w:rPr>
            </w:pPr>
            <w:r>
              <w:rPr>
                <w:rFonts w:hint="eastAsia" w:ascii="宋体" w:hAnsi="宋体" w:cs="宋体"/>
                <w:bCs/>
                <w:kern w:val="0"/>
              </w:rPr>
              <w:t>2</w:t>
            </w:r>
          </w:p>
        </w:tc>
        <w:tc>
          <w:tcPr>
            <w:tcW w:w="780" w:type="dxa"/>
            <w:vMerge w:val="continue"/>
            <w:tcBorders>
              <w:left w:val="nil"/>
              <w:right w:val="single" w:color="auto" w:sz="4" w:space="0"/>
            </w:tcBorders>
            <w:vAlign w:val="center"/>
          </w:tcPr>
          <w:p>
            <w:pPr>
              <w:jc w:val="center"/>
              <w:rPr>
                <w:rFonts w:hint="eastAsia"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大学生优秀科研成果</w:t>
            </w: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省级一等奖</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nil"/>
              <w:right w:val="single" w:color="auto" w:sz="4" w:space="0"/>
            </w:tcBorders>
            <w:vAlign w:val="center"/>
          </w:tcPr>
          <w:p>
            <w:pPr>
              <w:jc w:val="center"/>
              <w:rPr>
                <w:rFonts w:hint="eastAsia"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continue"/>
            <w:tcBorders>
              <w:top w:val="single" w:color="auto" w:sz="4" w:space="0"/>
              <w:left w:val="nil"/>
              <w:bottom w:val="single" w:color="auto" w:sz="4" w:space="0"/>
              <w:right w:val="single" w:color="auto" w:sz="4" w:space="0"/>
            </w:tcBorders>
            <w:vAlign w:val="center"/>
          </w:tcPr>
          <w:p>
            <w:pPr>
              <w:widowControl/>
              <w:ind w:firstLine="210" w:firstLineChars="100"/>
              <w:jc w:val="center"/>
              <w:rPr>
                <w:rFonts w:ascii="宋体" w:hAnsi="宋体" w:cs="宋体"/>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省二等奖</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nil"/>
              <w:right w:val="single" w:color="auto" w:sz="4" w:space="0"/>
            </w:tcBorders>
            <w:vAlign w:val="center"/>
          </w:tcPr>
          <w:p>
            <w:pPr>
              <w:jc w:val="center"/>
              <w:rPr>
                <w:rFonts w:ascii="宋体" w:hAnsi="宋体" w:cs="宋体"/>
                <w:kern w:val="0"/>
              </w:rPr>
            </w:pPr>
          </w:p>
        </w:tc>
      </w:tr>
      <w:tr>
        <w:tblPrEx>
          <w:tblLayout w:type="fixed"/>
          <w:tblCellMar>
            <w:top w:w="0" w:type="dxa"/>
            <w:left w:w="108" w:type="dxa"/>
            <w:bottom w:w="0" w:type="dxa"/>
            <w:right w:w="108" w:type="dxa"/>
          </w:tblCellMar>
        </w:tblPrEx>
        <w:trPr>
          <w:trHeight w:val="279"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省三等奖/地市级一等奖</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nil"/>
              <w:right w:val="single" w:color="auto" w:sz="4" w:space="0"/>
            </w:tcBorders>
            <w:vAlign w:val="center"/>
          </w:tcPr>
          <w:p>
            <w:pPr>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地市级二等奖</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single" w:color="auto" w:sz="4" w:space="0"/>
              <w:right w:val="single" w:color="auto" w:sz="4" w:space="0"/>
            </w:tcBorders>
            <w:vAlign w:val="center"/>
          </w:tcPr>
          <w:p>
            <w:pPr>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地市级三等奖</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0.5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single" w:color="auto" w:sz="4" w:space="0"/>
              <w:right w:val="single" w:color="auto" w:sz="4" w:space="0"/>
            </w:tcBorders>
            <w:vAlign w:val="center"/>
          </w:tcPr>
          <w:p>
            <w:pPr>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获得国家专利</w:t>
            </w:r>
          </w:p>
        </w:tc>
        <w:tc>
          <w:tcPr>
            <w:tcW w:w="36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发明专利</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c>
          <w:tcPr>
            <w:tcW w:w="36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实用新型专利</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p>
        </w:tc>
        <w:tc>
          <w:tcPr>
            <w:tcW w:w="36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外观设计专利</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right w:val="single" w:color="auto" w:sz="4" w:space="0"/>
            </w:tcBorders>
            <w:textDirection w:val="tbRlV"/>
            <w:vAlign w:val="center"/>
          </w:tcPr>
          <w:p>
            <w:pPr>
              <w:ind w:left="113" w:right="113"/>
              <w:jc w:val="center"/>
              <w:rPr>
                <w:rFonts w:ascii="宋体" w:hAnsi="宋体" w:cs="宋体"/>
                <w:kern w:val="0"/>
              </w:rPr>
            </w:pPr>
          </w:p>
        </w:tc>
        <w:tc>
          <w:tcPr>
            <w:tcW w:w="2229" w:type="dxa"/>
            <w:vMerge w:val="restart"/>
            <w:tcBorders>
              <w:top w:val="nil"/>
              <w:left w:val="nil"/>
              <w:right w:val="single" w:color="auto" w:sz="4" w:space="0"/>
            </w:tcBorders>
            <w:vAlign w:val="center"/>
          </w:tcPr>
          <w:p>
            <w:pPr>
              <w:widowControl/>
              <w:jc w:val="center"/>
              <w:rPr>
                <w:rFonts w:ascii="宋体" w:hAnsi="宋体" w:cs="宋体"/>
                <w:kern w:val="0"/>
              </w:rPr>
            </w:pPr>
            <w:r>
              <w:rPr>
                <w:rFonts w:hint="eastAsia" w:ascii="宋体" w:hAnsi="宋体" w:cs="宋体"/>
                <w:kern w:val="0"/>
              </w:rPr>
              <w:t>科研训练</w:t>
            </w: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参加教师科研项目（院级以上立项），完成规定任务，不少于1学期</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78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2</w:t>
            </w:r>
          </w:p>
        </w:tc>
        <w:tc>
          <w:tcPr>
            <w:tcW w:w="780" w:type="dxa"/>
            <w:vMerge w:val="restart"/>
            <w:tcBorders>
              <w:top w:val="nil"/>
              <w:left w:val="nil"/>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科研处</w:t>
            </w: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cs="宋体"/>
                <w:kern w:val="0"/>
              </w:rPr>
            </w:pPr>
          </w:p>
        </w:tc>
        <w:tc>
          <w:tcPr>
            <w:tcW w:w="2229" w:type="dxa"/>
            <w:vMerge w:val="continue"/>
            <w:tcBorders>
              <w:left w:val="nil"/>
              <w:bottom w:val="single" w:color="auto" w:sz="4" w:space="0"/>
              <w:right w:val="single" w:color="auto" w:sz="4" w:space="0"/>
            </w:tcBorders>
            <w:vAlign w:val="center"/>
          </w:tcPr>
          <w:p>
            <w:pPr>
              <w:widowControl/>
              <w:jc w:val="center"/>
              <w:rPr>
                <w:rFonts w:ascii="宋体" w:hAnsi="宋体" w:cs="宋体"/>
                <w:kern w:val="0"/>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承担学校批准的学术科技项目，完成并结题</w:t>
            </w: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nil"/>
              <w:bottom w:val="single" w:color="auto" w:sz="4" w:space="0"/>
              <w:right w:val="single" w:color="auto" w:sz="4" w:space="0"/>
            </w:tcBorders>
            <w:vAlign w:val="center"/>
          </w:tcPr>
          <w:p>
            <w:pPr>
              <w:widowControl/>
              <w:jc w:val="center"/>
              <w:rPr>
                <w:rFonts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ascii="宋体" w:hAnsi="宋体" w:cs="宋体"/>
                <w:kern w:val="0"/>
              </w:rPr>
            </w:pPr>
            <w:r>
              <w:rPr>
                <w:rFonts w:hint="eastAsia" w:ascii="宋体" w:hAnsi="宋体" w:cs="宋体"/>
                <w:kern w:val="0"/>
              </w:rPr>
              <w:t>技能类</w:t>
            </w:r>
          </w:p>
        </w:tc>
        <w:tc>
          <w:tcPr>
            <w:tcW w:w="222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参加国家统一计算机等级考试</w:t>
            </w:r>
          </w:p>
        </w:tc>
        <w:tc>
          <w:tcPr>
            <w:tcW w:w="362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2级</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0.5</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restart"/>
            <w:tcBorders>
              <w:top w:val="nil"/>
              <w:left w:val="nil"/>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各系</w:t>
            </w:r>
          </w:p>
        </w:tc>
      </w:tr>
      <w:tr>
        <w:tblPrEx>
          <w:tblLayout w:type="fixed"/>
          <w:tblCellMar>
            <w:top w:w="0" w:type="dxa"/>
            <w:left w:w="108" w:type="dxa"/>
            <w:bottom w:w="0" w:type="dxa"/>
            <w:right w:w="108" w:type="dxa"/>
          </w:tblCellMar>
        </w:tblPrEx>
        <w:trPr>
          <w:trHeight w:val="270" w:hRule="atLeast"/>
        </w:trPr>
        <w:tc>
          <w:tcPr>
            <w:tcW w:w="700" w:type="dxa"/>
            <w:vMerge w:val="continue"/>
            <w:tcBorders>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cs="宋体"/>
                <w:kern w:val="0"/>
              </w:rPr>
            </w:pPr>
          </w:p>
        </w:tc>
        <w:tc>
          <w:tcPr>
            <w:tcW w:w="222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取得国家劳动和人事部门认可的职业资格证书</w:t>
            </w: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72"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780"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780" w:type="dxa"/>
            <w:vMerge w:val="continue"/>
            <w:tcBorders>
              <w:left w:val="nil"/>
              <w:right w:val="single" w:color="auto" w:sz="4" w:space="0"/>
            </w:tcBorders>
            <w:vAlign w:val="center"/>
          </w:tcPr>
          <w:p>
            <w:pPr>
              <w:widowControl/>
              <w:jc w:val="center"/>
              <w:rPr>
                <w:rFonts w:hint="eastAsia" w:ascii="宋体" w:hAnsi="宋体" w:cs="宋体"/>
                <w:kern w:val="0"/>
              </w:rPr>
            </w:pPr>
          </w:p>
        </w:tc>
      </w:tr>
      <w:tr>
        <w:tblPrEx>
          <w:tblLayout w:type="fixed"/>
          <w:tblCellMar>
            <w:top w:w="0" w:type="dxa"/>
            <w:left w:w="108" w:type="dxa"/>
            <w:bottom w:w="0" w:type="dxa"/>
            <w:right w:w="108" w:type="dxa"/>
          </w:tblCellMar>
        </w:tblPrEx>
        <w:trPr>
          <w:trHeight w:val="790" w:hRule="atLeast"/>
        </w:trPr>
        <w:tc>
          <w:tcPr>
            <w:tcW w:w="700" w:type="dxa"/>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hint="eastAsia" w:ascii="宋体" w:hAnsi="宋体" w:cs="宋体"/>
                <w:kern w:val="0"/>
              </w:rPr>
            </w:pPr>
            <w:r>
              <w:rPr>
                <w:rFonts w:hint="eastAsia" w:ascii="宋体" w:hAnsi="宋体" w:cs="宋体"/>
                <w:kern w:val="0"/>
              </w:rPr>
              <w:t>专业类</w:t>
            </w:r>
          </w:p>
        </w:tc>
        <w:tc>
          <w:tcPr>
            <w:tcW w:w="2229"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课外参加研究型、创新型开放实验</w:t>
            </w:r>
          </w:p>
        </w:tc>
        <w:tc>
          <w:tcPr>
            <w:tcW w:w="3621" w:type="dxa"/>
            <w:tcBorders>
              <w:top w:val="nil"/>
              <w:left w:val="nil"/>
              <w:bottom w:val="single" w:color="auto" w:sz="4" w:space="0"/>
              <w:right w:val="single" w:color="auto" w:sz="4" w:space="0"/>
            </w:tcBorders>
            <w:vAlign w:val="center"/>
          </w:tcPr>
          <w:p>
            <w:pPr>
              <w:widowControl/>
              <w:ind w:left="113" w:right="113"/>
              <w:jc w:val="center"/>
              <w:rPr>
                <w:rFonts w:ascii="宋体" w:hAnsi="宋体" w:cs="宋体"/>
                <w:kern w:val="0"/>
              </w:rPr>
            </w:pPr>
            <w:r>
              <w:rPr>
                <w:rFonts w:hint="eastAsia" w:ascii="宋体" w:hAnsi="宋体" w:cs="宋体"/>
                <w:kern w:val="0"/>
              </w:rPr>
              <w:t>连续1学期，实验报告和结题报告经指导教师批改</w:t>
            </w:r>
          </w:p>
        </w:tc>
        <w:tc>
          <w:tcPr>
            <w:tcW w:w="772" w:type="dxa"/>
            <w:tcBorders>
              <w:top w:val="nil"/>
              <w:left w:val="nil"/>
              <w:bottom w:val="single" w:color="auto" w:sz="4" w:space="0"/>
              <w:right w:val="single" w:color="auto" w:sz="4" w:space="0"/>
            </w:tcBorders>
            <w:vAlign w:val="center"/>
          </w:tcPr>
          <w:p>
            <w:pPr>
              <w:widowControl/>
              <w:ind w:left="113" w:right="113"/>
              <w:jc w:val="center"/>
              <w:rPr>
                <w:rFonts w:hint="eastAsia" w:ascii="宋体" w:hAnsi="宋体" w:cs="宋体"/>
                <w:kern w:val="0"/>
              </w:rPr>
            </w:pPr>
            <w:r>
              <w:rPr>
                <w:rFonts w:hint="eastAsia" w:ascii="宋体" w:hAnsi="宋体" w:cs="宋体"/>
                <w:kern w:val="0"/>
              </w:rPr>
              <w:t>1</w:t>
            </w:r>
          </w:p>
        </w:tc>
        <w:tc>
          <w:tcPr>
            <w:tcW w:w="780" w:type="dxa"/>
            <w:tcBorders>
              <w:top w:val="nil"/>
              <w:left w:val="nil"/>
              <w:bottom w:val="single" w:color="auto" w:sz="4" w:space="0"/>
              <w:right w:val="single" w:color="auto" w:sz="4" w:space="0"/>
            </w:tcBorders>
            <w:vAlign w:val="center"/>
          </w:tcPr>
          <w:p>
            <w:pPr>
              <w:widowControl/>
              <w:ind w:left="113" w:right="113"/>
              <w:jc w:val="center"/>
              <w:rPr>
                <w:rFonts w:hint="eastAsia" w:ascii="宋体" w:hAnsi="宋体" w:cs="宋体"/>
                <w:kern w:val="0"/>
              </w:rPr>
            </w:pPr>
            <w:r>
              <w:rPr>
                <w:rFonts w:hint="eastAsia" w:ascii="宋体" w:hAnsi="宋体" w:cs="宋体"/>
                <w:kern w:val="0"/>
              </w:rPr>
              <w:t>2</w:t>
            </w:r>
          </w:p>
        </w:tc>
        <w:tc>
          <w:tcPr>
            <w:tcW w:w="780"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rPr>
            </w:pPr>
          </w:p>
        </w:tc>
      </w:tr>
      <w:tr>
        <w:tblPrEx>
          <w:tblLayout w:type="fixed"/>
          <w:tblCellMar>
            <w:top w:w="0" w:type="dxa"/>
            <w:left w:w="108" w:type="dxa"/>
            <w:bottom w:w="0" w:type="dxa"/>
            <w:right w:w="108" w:type="dxa"/>
          </w:tblCellMar>
        </w:tblPrEx>
        <w:trPr>
          <w:trHeight w:val="270" w:hRule="atLeast"/>
        </w:trPr>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社团公益类</w:t>
            </w: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参加学校社团并成为骨干</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不少于1学年</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0.5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kern w:val="0"/>
              </w:rPr>
            </w:pPr>
            <w:r>
              <w:rPr>
                <w:rFonts w:hint="eastAsia" w:ascii="宋体" w:hAnsi="宋体" w:cs="宋体"/>
                <w:kern w:val="0"/>
              </w:rPr>
              <w:t>1.0</w:t>
            </w:r>
          </w:p>
          <w:p>
            <w:pPr>
              <w:widowControl/>
              <w:rPr>
                <w:rFonts w:hint="eastAsia" w:ascii="宋体" w:hAnsi="宋体" w:cs="宋体"/>
                <w:kern w:val="0"/>
              </w:rPr>
            </w:pPr>
            <w:r>
              <w:rPr>
                <w:rFonts w:hint="eastAsia" w:ascii="宋体" w:hAnsi="宋体" w:cs="宋体"/>
                <w:kern w:val="0"/>
              </w:rPr>
              <w:t>学分</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学生事务</w:t>
            </w:r>
          </w:p>
        </w:tc>
      </w:tr>
      <w:tr>
        <w:tblPrEx>
          <w:tblLayout w:type="fixed"/>
          <w:tblCellMar>
            <w:top w:w="0" w:type="dxa"/>
            <w:left w:w="108" w:type="dxa"/>
            <w:bottom w:w="0" w:type="dxa"/>
            <w:right w:w="108" w:type="dxa"/>
          </w:tblCellMar>
        </w:tblPrEx>
        <w:trPr>
          <w:trHeight w:val="270"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bookmarkStart w:id="10" w:name="OLE_LINK28"/>
            <w:r>
              <w:rPr>
                <w:rFonts w:hint="eastAsia" w:ascii="宋体" w:hAnsi="宋体" w:cs="宋体"/>
                <w:kern w:val="0"/>
              </w:rPr>
              <w:t>参</w:t>
            </w:r>
            <w:bookmarkEnd w:id="10"/>
            <w:r>
              <w:rPr>
                <w:rFonts w:hint="eastAsia" w:ascii="宋体" w:hAnsi="宋体" w:cs="宋体"/>
                <w:kern w:val="0"/>
              </w:rPr>
              <w:t>加市、区级以上志愿者公益活动</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2</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p>
        </w:tc>
      </w:tr>
      <w:tr>
        <w:tblPrEx>
          <w:tblLayout w:type="fixed"/>
          <w:tblCellMar>
            <w:top w:w="0" w:type="dxa"/>
            <w:left w:w="108" w:type="dxa"/>
            <w:bottom w:w="0" w:type="dxa"/>
            <w:right w:w="108" w:type="dxa"/>
          </w:tblCellMar>
        </w:tblPrEx>
        <w:trPr>
          <w:trHeight w:val="312"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海外交流</w:t>
            </w: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rPr>
              <w:t>赴海外院校交流累计达8周</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修满海外学分10</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2</w:t>
            </w:r>
          </w:p>
        </w:tc>
        <w:tc>
          <w:tcPr>
            <w:tcW w:w="78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国际交流</w:t>
            </w:r>
          </w:p>
        </w:tc>
      </w:tr>
      <w:tr>
        <w:tblPrEx>
          <w:tblLayout w:type="fixed"/>
          <w:tblCellMar>
            <w:top w:w="0" w:type="dxa"/>
            <w:left w:w="108" w:type="dxa"/>
            <w:bottom w:w="0" w:type="dxa"/>
            <w:right w:w="108" w:type="dxa"/>
          </w:tblCellMar>
        </w:tblPrEx>
        <w:trPr>
          <w:trHeight w:val="161"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pP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rPr>
              <w:t>赴海外院校交流累计达15周及以上</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修满海外学分15</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2</w:t>
            </w:r>
          </w:p>
        </w:tc>
        <w:tc>
          <w:tcPr>
            <w:tcW w:w="78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r>
      <w:tr>
        <w:tblPrEx>
          <w:tblLayout w:type="fixed"/>
          <w:tblCellMar>
            <w:top w:w="0" w:type="dxa"/>
            <w:left w:w="108" w:type="dxa"/>
            <w:bottom w:w="0" w:type="dxa"/>
            <w:right w:w="108" w:type="dxa"/>
          </w:tblCellMar>
        </w:tblPrEx>
        <w:trPr>
          <w:trHeight w:val="161"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pP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rPr>
            </w:pPr>
            <w:r>
              <w:rPr>
                <w:rFonts w:hint="eastAsia" w:ascii="宋体" w:hAnsi="宋体"/>
              </w:rPr>
              <w:t>赴海外院校交流</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rPr>
            </w:pPr>
            <w:r>
              <w:rPr>
                <w:rFonts w:hint="eastAsia" w:ascii="宋体" w:hAnsi="宋体"/>
              </w:rPr>
              <w:t>取得海外院校学位证或研究生录取通知书的</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rPr>
            </w:pPr>
            <w:r>
              <w:rPr>
                <w:rFonts w:hint="eastAsia" w:ascii="宋体" w:hAnsi="宋体"/>
              </w:rPr>
              <w:t>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rPr>
            </w:pPr>
          </w:p>
        </w:tc>
        <w:tc>
          <w:tcPr>
            <w:tcW w:w="78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rPr>
            </w:pPr>
          </w:p>
        </w:tc>
      </w:tr>
      <w:tr>
        <w:tblPrEx>
          <w:tblLayout w:type="fixed"/>
          <w:tblCellMar>
            <w:top w:w="0" w:type="dxa"/>
            <w:left w:w="108" w:type="dxa"/>
            <w:bottom w:w="0" w:type="dxa"/>
            <w:right w:w="108" w:type="dxa"/>
          </w:tblCellMar>
        </w:tblPrEx>
        <w:trPr>
          <w:trHeight w:val="312" w:hRule="atLeast"/>
        </w:trPr>
        <w:tc>
          <w:tcPr>
            <w:tcW w:w="7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r>
              <w:rPr>
                <w:rFonts w:hint="eastAsia"/>
              </w:rPr>
              <w:t>参军</w:t>
            </w: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rPr>
            </w:pPr>
            <w:r>
              <w:rPr>
                <w:rFonts w:hint="eastAsia" w:ascii="宋体" w:hAnsi="宋体"/>
              </w:rPr>
              <w:t>普通士兵</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服役期满复员</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c>
          <w:tcPr>
            <w:tcW w:w="78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学生事务</w:t>
            </w:r>
          </w:p>
        </w:tc>
      </w:tr>
      <w:tr>
        <w:tblPrEx>
          <w:tblLayout w:type="fixed"/>
          <w:tblCellMar>
            <w:top w:w="0" w:type="dxa"/>
            <w:left w:w="108" w:type="dxa"/>
            <w:bottom w:w="0" w:type="dxa"/>
            <w:right w:w="108" w:type="dxa"/>
          </w:tblCellMar>
        </w:tblPrEx>
        <w:trPr>
          <w:trHeight w:val="312"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rPr>
            </w:pPr>
            <w:r>
              <w:rPr>
                <w:rFonts w:hint="eastAsia" w:ascii="宋体" w:hAnsi="宋体"/>
              </w:rPr>
              <w:t>优秀士兵</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服役期满复员</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c>
          <w:tcPr>
            <w:tcW w:w="780" w:type="dxa"/>
            <w:vMerge w:val="continue"/>
            <w:tcBorders>
              <w:left w:val="single" w:color="auto" w:sz="4" w:space="0"/>
              <w:right w:val="single" w:color="auto" w:sz="4" w:space="0"/>
            </w:tcBorders>
            <w:vAlign w:val="center"/>
          </w:tcPr>
          <w:p>
            <w:pPr>
              <w:widowControl/>
              <w:jc w:val="left"/>
              <w:rPr>
                <w:rFonts w:hint="eastAsia" w:ascii="宋体" w:hAnsi="宋体" w:cs="宋体"/>
                <w:kern w:val="0"/>
              </w:rPr>
            </w:pPr>
          </w:p>
        </w:tc>
      </w:tr>
      <w:tr>
        <w:tblPrEx>
          <w:tblLayout w:type="fixed"/>
          <w:tblCellMar>
            <w:top w:w="0" w:type="dxa"/>
            <w:left w:w="108" w:type="dxa"/>
            <w:bottom w:w="0" w:type="dxa"/>
            <w:right w:w="108" w:type="dxa"/>
          </w:tblCellMar>
        </w:tblPrEx>
        <w:trPr>
          <w:trHeight w:val="312"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rPr>
            </w:pPr>
            <w:r>
              <w:rPr>
                <w:rFonts w:hint="eastAsia" w:ascii="宋体" w:hAnsi="宋体"/>
              </w:rPr>
              <w:t>三等功以上</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服役期满复员</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c>
          <w:tcPr>
            <w:tcW w:w="78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r>
      <w:tr>
        <w:tblPrEx>
          <w:tblLayout w:type="fixed"/>
          <w:tblCellMar>
            <w:top w:w="0" w:type="dxa"/>
            <w:left w:w="108" w:type="dxa"/>
            <w:bottom w:w="0" w:type="dxa"/>
            <w:right w:w="108" w:type="dxa"/>
          </w:tblCellMar>
        </w:tblPrEx>
        <w:trPr>
          <w:trHeight w:val="312"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bookmarkStart w:id="11" w:name="OLE_LINK32" w:colFirst="4" w:colLast="5"/>
            <w:bookmarkStart w:id="12" w:name="OLE_LINK31" w:colFirst="0" w:colLast="5"/>
            <w:r>
              <w:rPr>
                <w:rFonts w:hint="eastAsia"/>
              </w:rPr>
              <w:t>助教</w:t>
            </w: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rPr>
            </w:pPr>
            <w:bookmarkStart w:id="13" w:name="OLE_LINK29"/>
            <w:r>
              <w:rPr>
                <w:rFonts w:hint="eastAsia" w:ascii="宋体" w:hAnsi="宋体" w:cs="宋体"/>
                <w:kern w:val="0"/>
              </w:rPr>
              <w:t>工作满一学期</w:t>
            </w:r>
            <w:bookmarkEnd w:id="13"/>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bookmarkStart w:id="14" w:name="OLE_LINK30"/>
            <w:r>
              <w:rPr>
                <w:rFonts w:hint="eastAsia" w:ascii="宋体" w:hAnsi="宋体" w:cs="宋体"/>
                <w:kern w:val="0"/>
              </w:rPr>
              <w:t>助教工作考核合格</w:t>
            </w:r>
            <w:bookmarkEnd w:id="14"/>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主讲教师</w:t>
            </w:r>
          </w:p>
        </w:tc>
      </w:tr>
      <w:tr>
        <w:tblPrEx>
          <w:tblLayout w:type="fixed"/>
          <w:tblCellMar>
            <w:top w:w="0" w:type="dxa"/>
            <w:left w:w="108" w:type="dxa"/>
            <w:bottom w:w="0" w:type="dxa"/>
            <w:right w:w="108" w:type="dxa"/>
          </w:tblCellMar>
        </w:tblPrEx>
        <w:trPr>
          <w:trHeight w:val="312"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rPr>
            </w:pPr>
            <w:bookmarkStart w:id="15" w:name="OLE_LINK34" w:colFirst="1" w:colLast="1"/>
            <w:bookmarkStart w:id="16" w:name="OLE_LINK33" w:colFirst="0" w:colLast="0"/>
            <w:bookmarkStart w:id="17" w:name="OLE_LINK40" w:colFirst="5" w:colLast="5"/>
            <w:r>
              <w:rPr>
                <w:rFonts w:hint="eastAsia"/>
              </w:rPr>
              <w:t>创新创业</w:t>
            </w:r>
          </w:p>
        </w:tc>
        <w:tc>
          <w:tcPr>
            <w:tcW w:w="222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核心成员</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bookmarkStart w:id="18" w:name="OLE_LINK35"/>
            <w:bookmarkStart w:id="19" w:name="OLE_LINK36"/>
            <w:r>
              <w:rPr>
                <w:rFonts w:hint="eastAsia" w:ascii="宋体" w:hAnsi="宋体" w:cs="宋体"/>
                <w:kern w:val="0"/>
              </w:rPr>
              <w:t>获AB轮投</w:t>
            </w:r>
            <w:bookmarkEnd w:id="18"/>
            <w:r>
              <w:rPr>
                <w:rFonts w:hint="eastAsia" w:ascii="宋体" w:hAnsi="宋体" w:cs="宋体"/>
                <w:kern w:val="0"/>
              </w:rPr>
              <w:t>资</w:t>
            </w:r>
            <w:bookmarkEnd w:id="19"/>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c>
          <w:tcPr>
            <w:tcW w:w="78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各系</w:t>
            </w:r>
          </w:p>
        </w:tc>
      </w:tr>
      <w:tr>
        <w:tblPrEx>
          <w:tblLayout w:type="fixed"/>
          <w:tblCellMar>
            <w:top w:w="0" w:type="dxa"/>
            <w:left w:w="108" w:type="dxa"/>
            <w:bottom w:w="0" w:type="dxa"/>
            <w:right w:w="108" w:type="dxa"/>
          </w:tblCellMar>
        </w:tblPrEx>
        <w:trPr>
          <w:trHeight w:val="312" w:hRule="atLeast"/>
        </w:trPr>
        <w:tc>
          <w:tcPr>
            <w:tcW w:w="700" w:type="dxa"/>
            <w:vMerge w:val="continue"/>
            <w:tcBorders>
              <w:left w:val="single" w:color="auto" w:sz="4" w:space="0"/>
              <w:right w:val="single" w:color="auto" w:sz="4" w:space="0"/>
            </w:tcBorders>
            <w:vAlign w:val="center"/>
          </w:tcPr>
          <w:p>
            <w:pPr>
              <w:widowControl/>
              <w:jc w:val="left"/>
              <w:rPr>
                <w:rFonts w:hint="eastAsia"/>
              </w:rPr>
            </w:pPr>
          </w:p>
        </w:tc>
        <w:tc>
          <w:tcPr>
            <w:tcW w:w="222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bookmarkStart w:id="20" w:name="OLE_LINK37"/>
            <w:r>
              <w:rPr>
                <w:rFonts w:hint="eastAsia" w:ascii="宋体" w:hAnsi="宋体" w:cs="宋体"/>
                <w:kern w:val="0"/>
              </w:rPr>
              <w:t>获得天使投资</w:t>
            </w:r>
            <w:bookmarkEnd w:id="20"/>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bookmarkStart w:id="21" w:name="OLE_LINK39"/>
            <w:r>
              <w:rPr>
                <w:rFonts w:hint="eastAsia" w:ascii="宋体" w:hAnsi="宋体" w:cs="宋体"/>
                <w:kern w:val="0"/>
              </w:rPr>
              <w:t>4</w:t>
            </w:r>
            <w:bookmarkEnd w:id="21"/>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c>
          <w:tcPr>
            <w:tcW w:w="780" w:type="dxa"/>
            <w:vMerge w:val="continue"/>
            <w:tcBorders>
              <w:left w:val="single" w:color="auto" w:sz="4" w:space="0"/>
              <w:right w:val="single" w:color="auto" w:sz="4" w:space="0"/>
            </w:tcBorders>
            <w:vAlign w:val="center"/>
          </w:tcPr>
          <w:p>
            <w:pPr>
              <w:widowControl/>
              <w:jc w:val="left"/>
              <w:rPr>
                <w:rFonts w:hint="eastAsia" w:ascii="宋体" w:hAnsi="宋体" w:cs="宋体"/>
                <w:kern w:val="0"/>
              </w:rPr>
            </w:pPr>
          </w:p>
        </w:tc>
      </w:tr>
      <w:bookmarkEnd w:id="15"/>
      <w:tr>
        <w:tblPrEx>
          <w:tblLayout w:type="fixed"/>
          <w:tblCellMar>
            <w:top w:w="0" w:type="dxa"/>
            <w:left w:w="108" w:type="dxa"/>
            <w:bottom w:w="0" w:type="dxa"/>
            <w:right w:w="108" w:type="dxa"/>
          </w:tblCellMar>
        </w:tblPrEx>
        <w:trPr>
          <w:trHeight w:val="312" w:hRule="atLeast"/>
        </w:trPr>
        <w:tc>
          <w:tcPr>
            <w:tcW w:w="700" w:type="dxa"/>
            <w:vMerge w:val="continue"/>
            <w:tcBorders>
              <w:left w:val="single" w:color="auto" w:sz="4" w:space="0"/>
              <w:right w:val="single" w:color="auto" w:sz="4" w:space="0"/>
            </w:tcBorders>
            <w:vAlign w:val="center"/>
          </w:tcPr>
          <w:p>
            <w:pPr>
              <w:widowControl/>
              <w:jc w:val="left"/>
              <w:rPr>
                <w:rFonts w:hint="eastAsia"/>
              </w:rPr>
            </w:pP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创业团队领袖</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独立法人、公司累计盈利10万元以上</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4</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c>
          <w:tcPr>
            <w:tcW w:w="780" w:type="dxa"/>
            <w:vMerge w:val="continue"/>
            <w:tcBorders>
              <w:left w:val="single" w:color="auto" w:sz="4" w:space="0"/>
              <w:right w:val="single" w:color="auto" w:sz="4" w:space="0"/>
            </w:tcBorders>
            <w:vAlign w:val="center"/>
          </w:tcPr>
          <w:p>
            <w:pPr>
              <w:widowControl/>
              <w:jc w:val="left"/>
              <w:rPr>
                <w:rFonts w:hint="eastAsia" w:ascii="宋体" w:hAnsi="宋体" w:cs="宋体"/>
                <w:kern w:val="0"/>
              </w:rPr>
            </w:pPr>
          </w:p>
        </w:tc>
      </w:tr>
      <w:tr>
        <w:tblPrEx>
          <w:tblLayout w:type="fixed"/>
          <w:tblCellMar>
            <w:top w:w="0" w:type="dxa"/>
            <w:left w:w="108" w:type="dxa"/>
            <w:bottom w:w="0" w:type="dxa"/>
            <w:right w:w="108" w:type="dxa"/>
          </w:tblCellMar>
        </w:tblPrEx>
        <w:trPr>
          <w:trHeight w:val="312"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hint="eastAsia"/>
              </w:rPr>
            </w:pPr>
          </w:p>
        </w:tc>
        <w:tc>
          <w:tcPr>
            <w:tcW w:w="22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团队骨干成员</w:t>
            </w:r>
          </w:p>
        </w:tc>
        <w:tc>
          <w:tcPr>
            <w:tcW w:w="36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一年以上，工作业绩记录</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r>
              <w:rPr>
                <w:rFonts w:hint="eastAsia" w:ascii="宋体" w:hAnsi="宋体" w:cs="宋体"/>
                <w:kern w:val="0"/>
              </w:rPr>
              <w:t>2</w:t>
            </w:r>
          </w:p>
        </w:tc>
        <w:tc>
          <w:tcPr>
            <w:tcW w:w="78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rPr>
            </w:pPr>
          </w:p>
        </w:tc>
      </w:tr>
      <w:bookmarkEnd w:id="11"/>
      <w:bookmarkEnd w:id="12"/>
      <w:bookmarkEnd w:id="16"/>
      <w:bookmarkEnd w:id="17"/>
    </w:tbl>
    <w:p>
      <w:pPr>
        <w:spacing w:line="360" w:lineRule="auto"/>
        <w:jc w:val="left"/>
        <w:rPr>
          <w:rFonts w:hint="eastAsia" w:ascii="宋体" w:hAnsi="宋体"/>
          <w:b/>
          <w:bCs/>
        </w:rPr>
      </w:pPr>
    </w:p>
    <w:p>
      <w:pPr>
        <w:spacing w:line="360" w:lineRule="auto"/>
        <w:jc w:val="center"/>
        <w:rPr>
          <w:rFonts w:hint="eastAsia" w:ascii="宋体" w:hAnsi="宋体"/>
          <w:b/>
          <w:bCs/>
          <w:sz w:val="24"/>
          <w:szCs w:val="24"/>
        </w:rPr>
      </w:pPr>
      <w:r>
        <w:rPr>
          <w:rFonts w:hint="eastAsia" w:ascii="宋体" w:hAnsi="宋体"/>
          <w:b/>
          <w:bCs/>
          <w:sz w:val="24"/>
          <w:szCs w:val="24"/>
        </w:rPr>
        <w:t>第三条   学分置换认定的规程</w:t>
      </w:r>
    </w:p>
    <w:p>
      <w:pPr>
        <w:spacing w:line="360" w:lineRule="auto"/>
        <w:ind w:firstLine="480" w:firstLineChars="200"/>
        <w:rPr>
          <w:rFonts w:hint="eastAsia" w:ascii="宋体" w:hAnsi="宋体"/>
          <w:bCs/>
          <w:sz w:val="24"/>
          <w:szCs w:val="24"/>
        </w:rPr>
      </w:pPr>
      <w:r>
        <w:rPr>
          <w:rFonts w:hint="eastAsia" w:ascii="宋体" w:hAnsi="宋体"/>
          <w:bCs/>
          <w:sz w:val="24"/>
          <w:szCs w:val="24"/>
        </w:rPr>
        <w:t>一、</w:t>
      </w:r>
      <w:r>
        <w:rPr>
          <w:rFonts w:ascii="宋体" w:hAnsi="宋体"/>
          <w:bCs/>
          <w:sz w:val="24"/>
          <w:szCs w:val="24"/>
        </w:rPr>
        <w:t>学生</w:t>
      </w:r>
      <w:r>
        <w:rPr>
          <w:rFonts w:hint="eastAsia" w:ascii="宋体" w:hAnsi="宋体"/>
          <w:bCs/>
          <w:sz w:val="24"/>
          <w:szCs w:val="24"/>
        </w:rPr>
        <w:t>办理学分（含第二课堂学分）认定须在项目结束返校后或证书（成绩单）发放四周内，依据不同类型</w:t>
      </w:r>
      <w:r>
        <w:rPr>
          <w:rFonts w:ascii="宋体" w:hAnsi="宋体"/>
          <w:bCs/>
          <w:sz w:val="24"/>
          <w:szCs w:val="24"/>
        </w:rPr>
        <w:t>填写</w:t>
      </w:r>
      <w:r>
        <w:rPr>
          <w:rFonts w:hint="eastAsia" w:ascii="宋体" w:hAnsi="宋体"/>
          <w:bCs/>
          <w:sz w:val="24"/>
          <w:szCs w:val="24"/>
        </w:rPr>
        <w:t>《海外交流项目学分置换认定申请表》、《学生科技（学科）竞赛学分认定申请表》、《学籍异动学生学分认定申请表》、《学生课程成绩增加申请表》</w:t>
      </w:r>
      <w:r>
        <w:rPr>
          <w:rFonts w:ascii="宋体" w:hAnsi="宋体"/>
          <w:bCs/>
          <w:sz w:val="24"/>
          <w:szCs w:val="24"/>
        </w:rPr>
        <w:t>，连同</w:t>
      </w:r>
      <w:r>
        <w:rPr>
          <w:rFonts w:hint="eastAsia" w:ascii="宋体" w:hAnsi="宋体"/>
          <w:bCs/>
          <w:sz w:val="24"/>
          <w:szCs w:val="24"/>
        </w:rPr>
        <w:t>证书（</w:t>
      </w:r>
      <w:r>
        <w:rPr>
          <w:rFonts w:ascii="宋体" w:hAnsi="宋体"/>
          <w:bCs/>
          <w:sz w:val="24"/>
          <w:szCs w:val="24"/>
        </w:rPr>
        <w:t>成绩单</w:t>
      </w:r>
      <w:r>
        <w:rPr>
          <w:rFonts w:hint="eastAsia" w:ascii="宋体" w:hAnsi="宋体"/>
          <w:bCs/>
          <w:sz w:val="24"/>
          <w:szCs w:val="24"/>
        </w:rPr>
        <w:t>）</w:t>
      </w:r>
      <w:r>
        <w:rPr>
          <w:rFonts w:ascii="宋体" w:hAnsi="宋体"/>
          <w:bCs/>
          <w:sz w:val="24"/>
          <w:szCs w:val="24"/>
        </w:rPr>
        <w:t>原件</w:t>
      </w:r>
      <w:r>
        <w:rPr>
          <w:rFonts w:hint="eastAsia" w:ascii="宋体" w:hAnsi="宋体"/>
          <w:bCs/>
          <w:sz w:val="24"/>
          <w:szCs w:val="24"/>
        </w:rPr>
        <w:t>经相关项目组织职能部门、学生所在系与教学事务办公室复核，对符合要求者，教学事务办公室予以置换认定学分，并在教务系统中登录成绩。</w:t>
      </w:r>
    </w:p>
    <w:p>
      <w:pPr>
        <w:spacing w:line="460" w:lineRule="exact"/>
        <w:ind w:firstLine="480" w:firstLineChars="200"/>
        <w:rPr>
          <w:rFonts w:hint="eastAsia" w:ascii="宋体" w:hAnsi="宋体"/>
          <w:bCs/>
          <w:sz w:val="24"/>
          <w:szCs w:val="24"/>
        </w:rPr>
      </w:pPr>
      <w:r>
        <w:rPr>
          <w:rFonts w:hint="eastAsia" w:ascii="宋体" w:hAnsi="宋体"/>
          <w:bCs/>
          <w:sz w:val="24"/>
          <w:szCs w:val="24"/>
        </w:rPr>
        <w:t>二、办理海外院校课程学习项目学分置换认定的学生须在行程前填写《海外交流项目学习计划表》，经专业负责人、系主任审核海外院校学习的专业类课程与校内当学期所开课程的一致性或课程名称相近、学时学分相近（不一致的经系内论证后进行认定），通识类必修课程必须由开课部门主任认定课程置换方案，并签字报教学事务办公室审核签字备案，作为回校后学分置换的依据。</w:t>
      </w:r>
    </w:p>
    <w:p>
      <w:pPr>
        <w:spacing w:line="460" w:lineRule="exact"/>
        <w:ind w:firstLine="480" w:firstLineChars="200"/>
        <w:rPr>
          <w:rFonts w:hint="eastAsia" w:ascii="宋体" w:hAnsi="宋体"/>
          <w:bCs/>
          <w:sz w:val="24"/>
          <w:szCs w:val="24"/>
        </w:rPr>
      </w:pPr>
      <w:r>
        <w:rPr>
          <w:rFonts w:hint="eastAsia" w:ascii="宋体" w:hAnsi="宋体"/>
          <w:bCs/>
          <w:sz w:val="24"/>
          <w:szCs w:val="24"/>
        </w:rPr>
        <w:t>学生如遇海外学习计划变更时，必须立即于一周内以电子邮件形式与所属系专业负责人、系主任联系并确认同意变更，否则不予置换原定课程学分。</w:t>
      </w:r>
    </w:p>
    <w:p>
      <w:pPr>
        <w:spacing w:line="460" w:lineRule="exact"/>
        <w:ind w:firstLine="480" w:firstLineChars="200"/>
        <w:rPr>
          <w:rFonts w:hint="eastAsia" w:ascii="宋体" w:hAnsi="宋体"/>
          <w:bCs/>
          <w:sz w:val="24"/>
          <w:szCs w:val="24"/>
        </w:rPr>
      </w:pPr>
      <w:r>
        <w:rPr>
          <w:rFonts w:hint="eastAsia" w:ascii="宋体" w:hAnsi="宋体"/>
          <w:bCs/>
          <w:sz w:val="24"/>
          <w:szCs w:val="24"/>
        </w:rPr>
        <w:t>对于在海外学习一学期（含）以上的学生，课程成绩可以二级制记载成绩，通过则计为</w:t>
      </w:r>
      <w:bookmarkStart w:id="22" w:name="OLE_LINK2"/>
      <w:r>
        <w:rPr>
          <w:rFonts w:hint="eastAsia" w:ascii="宋体" w:hAnsi="宋体"/>
          <w:bCs/>
          <w:sz w:val="24"/>
          <w:szCs w:val="24"/>
        </w:rPr>
        <w:t>80</w:t>
      </w:r>
      <w:bookmarkEnd w:id="22"/>
      <w:r>
        <w:rPr>
          <w:rFonts w:hint="eastAsia" w:ascii="宋体" w:hAnsi="宋体"/>
          <w:bCs/>
          <w:sz w:val="24"/>
          <w:szCs w:val="24"/>
        </w:rPr>
        <w:t>分，对应学分绩点3.0。高于80分按实际分数记载。</w:t>
      </w:r>
    </w:p>
    <w:p>
      <w:pPr>
        <w:spacing w:line="460" w:lineRule="exact"/>
        <w:ind w:firstLine="480" w:firstLineChars="200"/>
        <w:rPr>
          <w:rFonts w:hint="eastAsia" w:ascii="宋体" w:hAnsi="宋体"/>
          <w:bCs/>
          <w:sz w:val="24"/>
          <w:szCs w:val="24"/>
        </w:rPr>
      </w:pPr>
      <w:r>
        <w:rPr>
          <w:rFonts w:hint="eastAsia" w:ascii="宋体" w:hAnsi="宋体"/>
          <w:bCs/>
          <w:sz w:val="24"/>
          <w:szCs w:val="24"/>
        </w:rPr>
        <w:t>对于海外学习归来后，所获得的未置换为必修课（含限选课）的课程学分可置换为选修课的学分。</w:t>
      </w:r>
    </w:p>
    <w:p>
      <w:pPr>
        <w:spacing w:line="360" w:lineRule="auto"/>
        <w:ind w:firstLine="480" w:firstLineChars="200"/>
        <w:rPr>
          <w:rFonts w:hint="eastAsia" w:ascii="宋体" w:hAnsi="宋体"/>
          <w:bCs/>
          <w:sz w:val="24"/>
          <w:szCs w:val="24"/>
        </w:rPr>
      </w:pPr>
      <w:r>
        <w:rPr>
          <w:rFonts w:hint="eastAsia" w:ascii="宋体" w:hAnsi="宋体"/>
          <w:bCs/>
          <w:sz w:val="24"/>
          <w:szCs w:val="24"/>
        </w:rPr>
        <w:t>对于大四学生的毕业论文/设计的学分认定，学生可在选题阶段与导师确认，并获得教研室、系同意后，可用接受方所修相关课程（一门或多门）的论文替代毕业论文/设计并答辩，答辩可采用面试、网络或书面方式进行。</w:t>
      </w:r>
    </w:p>
    <w:p>
      <w:pPr>
        <w:spacing w:line="360" w:lineRule="auto"/>
        <w:ind w:firstLine="480" w:firstLineChars="200"/>
        <w:rPr>
          <w:rFonts w:hint="eastAsia" w:ascii="宋体" w:hAnsi="宋体"/>
          <w:bCs/>
          <w:sz w:val="24"/>
          <w:szCs w:val="24"/>
        </w:rPr>
      </w:pPr>
      <w:r>
        <w:rPr>
          <w:rFonts w:hint="eastAsia" w:ascii="宋体" w:hAnsi="宋体"/>
          <w:bCs/>
          <w:sz w:val="24"/>
          <w:szCs w:val="24"/>
        </w:rPr>
        <w:t>三、办理职业（专业）资格证书项目培训学分认定的学生，职业资格证书考试合格取得相应资格证书，由学生所在系申报，交由教学事务办公室认可后，方可以置换学分。</w:t>
      </w:r>
    </w:p>
    <w:p>
      <w:pPr>
        <w:spacing w:line="360" w:lineRule="auto"/>
        <w:ind w:firstLine="480" w:firstLineChars="200"/>
        <w:rPr>
          <w:rFonts w:hint="eastAsia" w:ascii="宋体" w:hAnsi="宋体"/>
          <w:sz w:val="24"/>
          <w:szCs w:val="24"/>
        </w:rPr>
      </w:pPr>
      <w:r>
        <w:rPr>
          <w:rFonts w:hint="eastAsia" w:ascii="宋体" w:hAnsi="宋体"/>
          <w:bCs/>
          <w:sz w:val="24"/>
          <w:szCs w:val="24"/>
        </w:rPr>
        <w:t>四、学生在各级科技（学科）竞赛获奖后由学生所在系提出书面申请，交由教学事务办公室审核后，方可以置换学分。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B4E20"/>
    <w:rsid w:val="431B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cs="Times New Roman"/>
      <w:b/>
      <w:bCs/>
      <w:kern w:val="44"/>
      <w:sz w:val="44"/>
      <w:szCs w:val="44"/>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annotation reference"/>
    <w:unhideWhenUsed/>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2018-06-06T00:17:00Z</dcterms:created>
  <dc:creator>沈小写Sasha</dc:creator>
  <cp:lastModifiedBy>沈小写Sasha</cp:lastModifiedBy>
  <dcterms:modified xsi:type="dcterms:W3CDTF">2018-06-06T00:26:49Z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